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22" w:rsidRDefault="000B2747" w:rsidP="000B2747">
      <w:r>
        <w:tab/>
      </w:r>
      <w:r>
        <w:tab/>
      </w:r>
      <w:r>
        <w:tab/>
      </w:r>
      <w:r>
        <w:tab/>
      </w:r>
    </w:p>
    <w:tbl>
      <w:tblPr>
        <w:tblpPr w:leftFromText="180" w:rightFromText="180" w:horzAnchor="margin" w:tblpX="-360" w:tblpY="-523"/>
        <w:tblW w:w="9564" w:type="dxa"/>
        <w:tblCellMar>
          <w:left w:w="0" w:type="dxa"/>
          <w:right w:w="0" w:type="dxa"/>
        </w:tblCellMar>
        <w:tblLook w:val="01E0"/>
      </w:tblPr>
      <w:tblGrid>
        <w:gridCol w:w="4869"/>
        <w:gridCol w:w="4695"/>
      </w:tblGrid>
      <w:tr w:rsidR="00A26522" w:rsidTr="00A26522">
        <w:trPr>
          <w:trHeight w:val="1534"/>
        </w:trPr>
        <w:tc>
          <w:tcPr>
            <w:tcW w:w="4869" w:type="dxa"/>
            <w:vMerge w:val="restart"/>
            <w:hideMark/>
          </w:tcPr>
          <w:p w:rsidR="00A26522" w:rsidRDefault="00A26522">
            <w:pPr>
              <w:rPr>
                <w:rFonts w:eastAsia="Times New Roman"/>
                <w:sz w:val="20"/>
                <w:szCs w:val="20"/>
                <w:lang w:val="en-US" w:eastAsia="el-GR"/>
              </w:rPr>
            </w:pPr>
            <w:r>
              <w:rPr>
                <w:rFonts w:ascii="Tahoma" w:eastAsia="Times New Roman" w:hAnsi="Tahoma" w:cs="Tahoma"/>
                <w:noProof/>
                <w:sz w:val="24"/>
                <w:szCs w:val="24"/>
                <w:lang w:eastAsia="el-GR"/>
              </w:rPr>
              <w:drawing>
                <wp:inline distT="0" distB="0" distL="0" distR="0">
                  <wp:extent cx="2143125" cy="1885950"/>
                  <wp:effectExtent l="0" t="0" r="0" b="0"/>
                  <wp:docPr id="2" name="Εικόνα 2" descr="ΕΟΠΥΥ Έγγραφο Left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ΟΠΥΥ Έγγραφο Left Stationary"/>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1885950"/>
                          </a:xfrm>
                          <a:prstGeom prst="rect">
                            <a:avLst/>
                          </a:prstGeom>
                          <a:noFill/>
                          <a:ln>
                            <a:noFill/>
                          </a:ln>
                        </pic:spPr>
                      </pic:pic>
                    </a:graphicData>
                  </a:graphic>
                </wp:inline>
              </w:drawing>
            </w:r>
          </w:p>
        </w:tc>
        <w:tc>
          <w:tcPr>
            <w:tcW w:w="4695" w:type="dxa"/>
          </w:tcPr>
          <w:p w:rsidR="00A26522" w:rsidRDefault="00A26522">
            <w:pPr>
              <w:widowControl w:val="0"/>
              <w:autoSpaceDE w:val="0"/>
              <w:autoSpaceDN w:val="0"/>
              <w:adjustRightInd w:val="0"/>
              <w:ind w:firstLine="1368"/>
              <w:rPr>
                <w:rFonts w:ascii="Tahoma" w:eastAsia="Times New Roman" w:hAnsi="Tahoma" w:cs="Tahoma"/>
                <w:b/>
                <w:snapToGrid w:val="0"/>
                <w:sz w:val="24"/>
                <w:szCs w:val="24"/>
                <w:lang w:val="en-US" w:eastAsia="el-GR"/>
              </w:rPr>
            </w:pPr>
          </w:p>
          <w:p w:rsidR="00A26522" w:rsidRDefault="00A26522">
            <w:pPr>
              <w:widowControl w:val="0"/>
              <w:autoSpaceDE w:val="0"/>
              <w:autoSpaceDN w:val="0"/>
              <w:adjustRightInd w:val="0"/>
              <w:ind w:firstLine="1368"/>
              <w:rPr>
                <w:rFonts w:ascii="Tahoma" w:eastAsia="Times New Roman" w:hAnsi="Tahoma" w:cs="Tahoma"/>
                <w:b/>
                <w:snapToGrid w:val="0"/>
                <w:sz w:val="24"/>
                <w:szCs w:val="24"/>
                <w:lang w:val="en-US" w:eastAsia="el-GR"/>
              </w:rPr>
            </w:pPr>
          </w:p>
          <w:p w:rsidR="00A26522" w:rsidRDefault="00A26522">
            <w:pPr>
              <w:widowControl w:val="0"/>
              <w:autoSpaceDE w:val="0"/>
              <w:autoSpaceDN w:val="0"/>
              <w:adjustRightInd w:val="0"/>
              <w:ind w:firstLine="1368"/>
              <w:rPr>
                <w:rFonts w:ascii="Tahoma" w:eastAsia="Times New Roman" w:hAnsi="Tahoma" w:cs="Tahoma"/>
                <w:b/>
                <w:snapToGrid w:val="0"/>
                <w:sz w:val="24"/>
                <w:szCs w:val="24"/>
                <w:lang w:val="en-US" w:eastAsia="el-GR"/>
              </w:rPr>
            </w:pPr>
          </w:p>
          <w:p w:rsidR="00A26522" w:rsidRDefault="00A26522">
            <w:pPr>
              <w:widowControl w:val="0"/>
              <w:autoSpaceDE w:val="0"/>
              <w:autoSpaceDN w:val="0"/>
              <w:adjustRightInd w:val="0"/>
              <w:ind w:firstLine="1368"/>
              <w:rPr>
                <w:rFonts w:ascii="Tahoma" w:eastAsia="Times New Roman" w:hAnsi="Tahoma" w:cs="Tahoma"/>
                <w:b/>
                <w:snapToGrid w:val="0"/>
                <w:sz w:val="24"/>
                <w:szCs w:val="24"/>
                <w:lang w:val="en-US" w:eastAsia="el-GR"/>
              </w:rPr>
            </w:pPr>
          </w:p>
          <w:p w:rsidR="00A26522" w:rsidRDefault="00A26522">
            <w:pPr>
              <w:widowControl w:val="0"/>
              <w:autoSpaceDE w:val="0"/>
              <w:autoSpaceDN w:val="0"/>
              <w:adjustRightInd w:val="0"/>
              <w:ind w:firstLine="1368"/>
              <w:rPr>
                <w:rFonts w:ascii="Tahoma" w:eastAsia="Times New Roman" w:hAnsi="Tahoma" w:cs="Tahoma"/>
                <w:b/>
                <w:snapToGrid w:val="0"/>
                <w:sz w:val="24"/>
                <w:szCs w:val="24"/>
                <w:lang w:val="en-US" w:eastAsia="el-GR"/>
              </w:rPr>
            </w:pPr>
          </w:p>
          <w:p w:rsidR="00A26522" w:rsidRDefault="001D750A">
            <w:pPr>
              <w:widowControl w:val="0"/>
              <w:autoSpaceDE w:val="0"/>
              <w:autoSpaceDN w:val="0"/>
              <w:adjustRightInd w:val="0"/>
              <w:ind w:firstLine="1368"/>
              <w:rPr>
                <w:rFonts w:ascii="Tahoma" w:eastAsia="Times New Roman" w:hAnsi="Tahoma" w:cs="Tahoma"/>
                <w:b/>
                <w:snapToGrid w:val="0"/>
                <w:sz w:val="20"/>
                <w:szCs w:val="20"/>
                <w:lang w:eastAsia="el-GR"/>
              </w:rPr>
            </w:pPr>
            <w:r>
              <w:rPr>
                <w:rFonts w:ascii="Tahoma" w:eastAsia="Times New Roman" w:hAnsi="Tahoma" w:cs="Tahoma"/>
                <w:b/>
                <w:snapToGrid w:val="0"/>
                <w:sz w:val="20"/>
                <w:szCs w:val="20"/>
                <w:lang w:eastAsia="el-GR"/>
              </w:rPr>
              <w:t>Μαρούσι,   14</w:t>
            </w:r>
            <w:r w:rsidR="00A26522">
              <w:rPr>
                <w:rFonts w:ascii="Tahoma" w:eastAsia="Times New Roman" w:hAnsi="Tahoma" w:cs="Tahoma"/>
                <w:b/>
                <w:snapToGrid w:val="0"/>
                <w:sz w:val="20"/>
                <w:szCs w:val="20"/>
                <w:lang w:eastAsia="el-GR"/>
              </w:rPr>
              <w:t>/05/2015</w:t>
            </w:r>
          </w:p>
          <w:p w:rsidR="00A26522" w:rsidRPr="00A26522" w:rsidRDefault="00A26522">
            <w:pPr>
              <w:widowControl w:val="0"/>
              <w:autoSpaceDE w:val="0"/>
              <w:autoSpaceDN w:val="0"/>
              <w:adjustRightInd w:val="0"/>
              <w:ind w:firstLine="1368"/>
              <w:rPr>
                <w:rFonts w:ascii="Tahoma" w:eastAsia="Times New Roman" w:hAnsi="Tahoma" w:cs="Tahoma"/>
                <w:b/>
                <w:snapToGrid w:val="0"/>
                <w:sz w:val="24"/>
                <w:szCs w:val="24"/>
                <w:lang w:eastAsia="el-GR"/>
              </w:rPr>
            </w:pPr>
            <w:r>
              <w:rPr>
                <w:rFonts w:ascii="Tahoma" w:eastAsia="Times New Roman" w:hAnsi="Tahoma" w:cs="Tahoma"/>
                <w:b/>
                <w:snapToGrid w:val="0"/>
                <w:sz w:val="20"/>
                <w:szCs w:val="20"/>
                <w:lang w:eastAsia="el-GR"/>
              </w:rPr>
              <w:t xml:space="preserve">Αρ. </w:t>
            </w:r>
            <w:proofErr w:type="spellStart"/>
            <w:r>
              <w:rPr>
                <w:rFonts w:ascii="Tahoma" w:eastAsia="Times New Roman" w:hAnsi="Tahoma" w:cs="Tahoma"/>
                <w:b/>
                <w:snapToGrid w:val="0"/>
                <w:sz w:val="20"/>
                <w:szCs w:val="20"/>
                <w:lang w:eastAsia="el-GR"/>
              </w:rPr>
              <w:t>Πρωτ</w:t>
            </w:r>
            <w:proofErr w:type="spellEnd"/>
            <w:r>
              <w:rPr>
                <w:rFonts w:ascii="Tahoma" w:eastAsia="Times New Roman" w:hAnsi="Tahoma" w:cs="Tahoma"/>
                <w:b/>
                <w:snapToGrid w:val="0"/>
                <w:sz w:val="24"/>
                <w:szCs w:val="24"/>
                <w:lang w:eastAsia="el-GR"/>
              </w:rPr>
              <w:t xml:space="preserve">. </w:t>
            </w:r>
            <w:r>
              <w:rPr>
                <w:rFonts w:ascii="Tahoma" w:eastAsia="Times New Roman" w:hAnsi="Tahoma" w:cs="Tahoma"/>
                <w:b/>
                <w:snapToGrid w:val="0"/>
                <w:sz w:val="20"/>
                <w:szCs w:val="20"/>
                <w:lang w:eastAsia="el-GR"/>
              </w:rPr>
              <w:t xml:space="preserve">οικ. </w:t>
            </w:r>
            <w:r w:rsidR="00316EDB">
              <w:rPr>
                <w:rFonts w:ascii="Tahoma" w:eastAsia="Times New Roman" w:hAnsi="Tahoma" w:cs="Tahoma"/>
                <w:b/>
                <w:snapToGrid w:val="0"/>
                <w:sz w:val="20"/>
                <w:szCs w:val="20"/>
                <w:lang w:eastAsia="el-GR"/>
              </w:rPr>
              <w:t>17669</w:t>
            </w:r>
          </w:p>
        </w:tc>
      </w:tr>
      <w:tr w:rsidR="00A26522" w:rsidTr="00A26522">
        <w:trPr>
          <w:trHeight w:val="505"/>
        </w:trPr>
        <w:tc>
          <w:tcPr>
            <w:tcW w:w="0" w:type="auto"/>
            <w:vMerge/>
            <w:vAlign w:val="center"/>
            <w:hideMark/>
          </w:tcPr>
          <w:p w:rsidR="00A26522" w:rsidRDefault="00A26522">
            <w:pPr>
              <w:rPr>
                <w:rFonts w:eastAsia="Times New Roman"/>
                <w:sz w:val="20"/>
                <w:szCs w:val="20"/>
                <w:lang w:val="en-US" w:eastAsia="el-GR"/>
              </w:rPr>
            </w:pPr>
          </w:p>
        </w:tc>
        <w:tc>
          <w:tcPr>
            <w:tcW w:w="4695" w:type="dxa"/>
            <w:hideMark/>
          </w:tcPr>
          <w:p w:rsidR="00A26522" w:rsidRDefault="00A26522">
            <w:pPr>
              <w:widowControl w:val="0"/>
              <w:autoSpaceDE w:val="0"/>
              <w:autoSpaceDN w:val="0"/>
              <w:adjustRightInd w:val="0"/>
              <w:ind w:firstLine="1368"/>
              <w:rPr>
                <w:rFonts w:ascii="Tahoma" w:eastAsia="Times New Roman" w:hAnsi="Tahoma" w:cs="Tahoma"/>
                <w:b/>
                <w:snapToGrid w:val="0"/>
                <w:sz w:val="24"/>
                <w:szCs w:val="24"/>
                <w:lang w:eastAsia="el-GR"/>
              </w:rPr>
            </w:pPr>
          </w:p>
        </w:tc>
      </w:tr>
      <w:tr w:rsidR="00A26522" w:rsidTr="00A26522">
        <w:trPr>
          <w:trHeight w:val="112"/>
        </w:trPr>
        <w:tc>
          <w:tcPr>
            <w:tcW w:w="4869" w:type="dxa"/>
            <w:hideMark/>
          </w:tcPr>
          <w:p w:rsidR="00A26522" w:rsidRDefault="00A26522">
            <w:pPr>
              <w:widowControl w:val="0"/>
              <w:autoSpaceDE w:val="0"/>
              <w:autoSpaceDN w:val="0"/>
              <w:adjustRightInd w:val="0"/>
              <w:rPr>
                <w:rFonts w:ascii="Tahoma" w:eastAsia="Times New Roman" w:hAnsi="Tahoma" w:cs="Tahoma"/>
                <w:b/>
                <w:snapToGrid w:val="0"/>
                <w:sz w:val="20"/>
                <w:szCs w:val="20"/>
                <w:lang w:eastAsia="el-GR"/>
              </w:rPr>
            </w:pPr>
          </w:p>
        </w:tc>
        <w:tc>
          <w:tcPr>
            <w:tcW w:w="4695" w:type="dxa"/>
            <w:vMerge w:val="restart"/>
          </w:tcPr>
          <w:p w:rsidR="00A26522" w:rsidRDefault="00A26522">
            <w:pPr>
              <w:widowControl w:val="0"/>
              <w:autoSpaceDE w:val="0"/>
              <w:autoSpaceDN w:val="0"/>
              <w:adjustRightInd w:val="0"/>
              <w:ind w:left="1368"/>
              <w:rPr>
                <w:rFonts w:ascii="Tahoma" w:eastAsia="Times New Roman" w:hAnsi="Tahoma" w:cs="Tahoma"/>
                <w:b/>
                <w:snapToGrid w:val="0"/>
                <w:sz w:val="20"/>
                <w:szCs w:val="20"/>
                <w:lang w:eastAsia="el-GR"/>
              </w:rPr>
            </w:pPr>
            <w:r>
              <w:rPr>
                <w:rFonts w:ascii="Tahoma" w:eastAsia="Times New Roman" w:hAnsi="Tahoma" w:cs="Tahoma"/>
                <w:b/>
                <w:snapToGrid w:val="0"/>
                <w:sz w:val="20"/>
                <w:szCs w:val="20"/>
                <w:lang w:eastAsia="el-GR"/>
              </w:rPr>
              <w:t>ΠΡΟΣ:</w:t>
            </w:r>
          </w:p>
          <w:p w:rsidR="00A26522" w:rsidRDefault="00A26522">
            <w:pPr>
              <w:widowControl w:val="0"/>
              <w:autoSpaceDE w:val="0"/>
              <w:autoSpaceDN w:val="0"/>
              <w:adjustRightInd w:val="0"/>
              <w:ind w:left="1368"/>
              <w:rPr>
                <w:rFonts w:ascii="Tahoma" w:eastAsia="Times New Roman" w:hAnsi="Tahoma" w:cs="Tahoma"/>
                <w:b/>
                <w:snapToGrid w:val="0"/>
                <w:sz w:val="20"/>
                <w:szCs w:val="20"/>
                <w:lang w:eastAsia="el-GR"/>
              </w:rPr>
            </w:pPr>
            <w:r>
              <w:rPr>
                <w:rFonts w:ascii="Tahoma" w:eastAsia="Times New Roman" w:hAnsi="Tahoma" w:cs="Tahoma"/>
                <w:b/>
                <w:snapToGrid w:val="0"/>
                <w:sz w:val="20"/>
                <w:szCs w:val="20"/>
                <w:lang w:eastAsia="el-GR"/>
              </w:rPr>
              <w:t>Π.Ι.Σ.</w:t>
            </w:r>
          </w:p>
          <w:p w:rsidR="00A26522" w:rsidRDefault="00A26522">
            <w:pPr>
              <w:widowControl w:val="0"/>
              <w:autoSpaceDE w:val="0"/>
              <w:autoSpaceDN w:val="0"/>
              <w:adjustRightInd w:val="0"/>
              <w:ind w:left="1368"/>
              <w:rPr>
                <w:rFonts w:ascii="Tahoma" w:eastAsia="Times New Roman" w:hAnsi="Tahoma" w:cs="Tahoma"/>
                <w:b/>
                <w:snapToGrid w:val="0"/>
                <w:sz w:val="20"/>
                <w:szCs w:val="20"/>
                <w:lang w:eastAsia="el-GR"/>
              </w:rPr>
            </w:pPr>
            <w:r>
              <w:rPr>
                <w:rFonts w:ascii="Tahoma" w:eastAsia="Times New Roman" w:hAnsi="Tahoma" w:cs="Tahoma"/>
                <w:b/>
                <w:snapToGrid w:val="0"/>
                <w:sz w:val="20"/>
                <w:szCs w:val="20"/>
                <w:lang w:eastAsia="el-GR"/>
              </w:rPr>
              <w:t>Υπόψη κ. Προέδρου</w:t>
            </w:r>
          </w:p>
          <w:p w:rsidR="00A26522" w:rsidRDefault="00A26522">
            <w:pPr>
              <w:widowControl w:val="0"/>
              <w:autoSpaceDE w:val="0"/>
              <w:autoSpaceDN w:val="0"/>
              <w:adjustRightInd w:val="0"/>
              <w:ind w:left="1368"/>
              <w:rPr>
                <w:rFonts w:ascii="Tahoma" w:eastAsia="Times New Roman" w:hAnsi="Tahoma" w:cs="Tahoma"/>
                <w:b/>
                <w:snapToGrid w:val="0"/>
                <w:sz w:val="20"/>
                <w:szCs w:val="20"/>
                <w:lang w:eastAsia="el-GR"/>
              </w:rPr>
            </w:pPr>
          </w:p>
          <w:p w:rsidR="00A26522" w:rsidRDefault="00A26522">
            <w:pPr>
              <w:widowControl w:val="0"/>
              <w:autoSpaceDE w:val="0"/>
              <w:autoSpaceDN w:val="0"/>
              <w:adjustRightInd w:val="0"/>
              <w:ind w:left="1368"/>
              <w:rPr>
                <w:rFonts w:ascii="Tahoma" w:eastAsia="Times New Roman" w:hAnsi="Tahoma" w:cs="Tahoma"/>
                <w:b/>
                <w:snapToGrid w:val="0"/>
                <w:sz w:val="20"/>
                <w:szCs w:val="20"/>
                <w:lang w:eastAsia="el-GR"/>
              </w:rPr>
            </w:pPr>
            <w:r>
              <w:rPr>
                <w:rFonts w:ascii="Tahoma" w:eastAsia="Times New Roman" w:hAnsi="Tahoma" w:cs="Tahoma"/>
                <w:b/>
                <w:snapToGrid w:val="0"/>
                <w:sz w:val="20"/>
                <w:szCs w:val="20"/>
                <w:lang w:eastAsia="el-GR"/>
              </w:rPr>
              <w:t>Κοινοποίηση:</w:t>
            </w:r>
          </w:p>
          <w:p w:rsidR="00A26522" w:rsidRDefault="00A26522">
            <w:pPr>
              <w:widowControl w:val="0"/>
              <w:autoSpaceDE w:val="0"/>
              <w:autoSpaceDN w:val="0"/>
              <w:adjustRightInd w:val="0"/>
              <w:ind w:left="1368"/>
              <w:rPr>
                <w:rFonts w:ascii="Tahoma" w:eastAsia="Times New Roman" w:hAnsi="Tahoma" w:cs="Tahoma"/>
                <w:snapToGrid w:val="0"/>
                <w:sz w:val="20"/>
                <w:szCs w:val="20"/>
                <w:lang w:eastAsia="el-GR"/>
              </w:rPr>
            </w:pPr>
            <w:r>
              <w:rPr>
                <w:rFonts w:ascii="Tahoma" w:eastAsia="Times New Roman" w:hAnsi="Tahoma" w:cs="Tahoma"/>
                <w:snapToGrid w:val="0"/>
                <w:sz w:val="20"/>
                <w:szCs w:val="20"/>
                <w:lang w:eastAsia="el-GR"/>
              </w:rPr>
              <w:t>Π.Ο.Σ.Ι.Π.Υ.</w:t>
            </w:r>
          </w:p>
          <w:p w:rsidR="00A26522" w:rsidRDefault="00A26522">
            <w:pPr>
              <w:widowControl w:val="0"/>
              <w:autoSpaceDE w:val="0"/>
              <w:autoSpaceDN w:val="0"/>
              <w:adjustRightInd w:val="0"/>
              <w:ind w:left="1368"/>
              <w:rPr>
                <w:rFonts w:ascii="Calibri" w:eastAsia="Calibri" w:hAnsi="Calibri" w:cs="Times New Roman"/>
              </w:rPr>
            </w:pPr>
            <w:r>
              <w:t>ΠΑ.Σ.Ι.ΔΙ.Κ.</w:t>
            </w:r>
          </w:p>
          <w:p w:rsidR="00A26522" w:rsidRDefault="00A26522">
            <w:pPr>
              <w:widowControl w:val="0"/>
              <w:autoSpaceDE w:val="0"/>
              <w:autoSpaceDN w:val="0"/>
              <w:adjustRightInd w:val="0"/>
              <w:ind w:left="1368"/>
              <w:rPr>
                <w:rFonts w:ascii="Tahoma" w:eastAsia="Times New Roman" w:hAnsi="Tahoma" w:cs="Tahoma"/>
                <w:b/>
                <w:snapToGrid w:val="0"/>
                <w:sz w:val="20"/>
                <w:szCs w:val="20"/>
                <w:lang w:eastAsia="el-GR"/>
              </w:rPr>
            </w:pPr>
            <w:r>
              <w:rPr>
                <w:rFonts w:ascii="Tahoma" w:eastAsia="Times New Roman" w:hAnsi="Tahoma" w:cs="Tahoma"/>
                <w:snapToGrid w:val="0"/>
                <w:sz w:val="20"/>
                <w:szCs w:val="20"/>
                <w:lang w:eastAsia="el-GR"/>
              </w:rPr>
              <w:t>Π.Ο.Σ.Κ.Ε.</w:t>
            </w:r>
          </w:p>
        </w:tc>
      </w:tr>
      <w:tr w:rsidR="00A26522" w:rsidTr="00A26522">
        <w:trPr>
          <w:trHeight w:val="83"/>
        </w:trPr>
        <w:tc>
          <w:tcPr>
            <w:tcW w:w="4869" w:type="dxa"/>
            <w:hideMark/>
          </w:tcPr>
          <w:p w:rsidR="00A26522" w:rsidRDefault="00A26522">
            <w:pPr>
              <w:widowControl w:val="0"/>
              <w:tabs>
                <w:tab w:val="left" w:pos="851"/>
              </w:tabs>
              <w:autoSpaceDE w:val="0"/>
              <w:autoSpaceDN w:val="0"/>
              <w:adjustRightInd w:val="0"/>
              <w:rPr>
                <w:rFonts w:ascii="Tahoma" w:eastAsia="Times New Roman" w:hAnsi="Tahoma" w:cs="Tahoma"/>
                <w:b/>
                <w:snapToGrid w:val="0"/>
                <w:sz w:val="20"/>
                <w:szCs w:val="20"/>
                <w:lang w:eastAsia="el-GR"/>
              </w:rPr>
            </w:pPr>
          </w:p>
        </w:tc>
        <w:tc>
          <w:tcPr>
            <w:tcW w:w="0" w:type="auto"/>
            <w:vMerge/>
            <w:vAlign w:val="center"/>
            <w:hideMark/>
          </w:tcPr>
          <w:p w:rsidR="00A26522" w:rsidRDefault="00A26522">
            <w:pPr>
              <w:rPr>
                <w:rFonts w:ascii="Tahoma" w:eastAsia="Times New Roman" w:hAnsi="Tahoma" w:cs="Tahoma"/>
                <w:b/>
                <w:snapToGrid w:val="0"/>
                <w:sz w:val="20"/>
                <w:szCs w:val="20"/>
                <w:lang w:eastAsia="el-GR"/>
              </w:rPr>
            </w:pPr>
          </w:p>
        </w:tc>
      </w:tr>
      <w:tr w:rsidR="00A26522" w:rsidRPr="002858E3" w:rsidTr="00A26522">
        <w:trPr>
          <w:trHeight w:val="70"/>
        </w:trPr>
        <w:tc>
          <w:tcPr>
            <w:tcW w:w="4869" w:type="dxa"/>
            <w:hideMark/>
          </w:tcPr>
          <w:p w:rsidR="00D6396F" w:rsidRDefault="00D6396F" w:rsidP="00A26522">
            <w:pPr>
              <w:rPr>
                <w:rFonts w:ascii="Tahoma" w:hAnsi="Tahoma" w:cs="Tahoma"/>
              </w:rPr>
            </w:pPr>
            <w:r>
              <w:rPr>
                <w:rFonts w:ascii="Tahoma" w:hAnsi="Tahoma" w:cs="Tahoma"/>
              </w:rPr>
              <w:t xml:space="preserve">ΔΙΟΙΚΗΣΗ  </w:t>
            </w:r>
          </w:p>
          <w:p w:rsidR="00D6396F" w:rsidRDefault="00D6396F" w:rsidP="00A26522">
            <w:pPr>
              <w:rPr>
                <w:rFonts w:ascii="Tahoma" w:hAnsi="Tahoma" w:cs="Tahoma"/>
              </w:rPr>
            </w:pPr>
            <w:r>
              <w:rPr>
                <w:rFonts w:ascii="Tahoma" w:hAnsi="Tahoma" w:cs="Tahoma"/>
              </w:rPr>
              <w:t xml:space="preserve">ΓΡ. ΓΡΑΜ. ΠΡΟΕΔΡΟΥ ΚΑΙ Δ.Σ. </w:t>
            </w:r>
            <w:bookmarkStart w:id="0" w:name="_GoBack"/>
            <w:bookmarkEnd w:id="0"/>
          </w:p>
          <w:p w:rsidR="00A26522" w:rsidRPr="005F32B3" w:rsidRDefault="00A26522" w:rsidP="00A26522">
            <w:pPr>
              <w:rPr>
                <w:rFonts w:ascii="Tahoma" w:hAnsi="Tahoma" w:cs="Tahoma"/>
              </w:rPr>
            </w:pPr>
            <w:proofErr w:type="spellStart"/>
            <w:r w:rsidRPr="005F32B3">
              <w:rPr>
                <w:rFonts w:ascii="Tahoma" w:hAnsi="Tahoma" w:cs="Tahoma"/>
              </w:rPr>
              <w:t>Τηλ</w:t>
            </w:r>
            <w:proofErr w:type="spellEnd"/>
            <w:r w:rsidRPr="005F32B3">
              <w:rPr>
                <w:rFonts w:ascii="Tahoma" w:hAnsi="Tahoma" w:cs="Tahoma"/>
              </w:rPr>
              <w:t xml:space="preserve">.: 210 6871706-708 </w:t>
            </w:r>
            <w:r w:rsidRPr="005F32B3">
              <w:rPr>
                <w:rFonts w:ascii="Tahoma" w:hAnsi="Tahoma" w:cs="Tahoma"/>
                <w:lang w:val="en-US"/>
              </w:rPr>
              <w:t>Fax</w:t>
            </w:r>
            <w:r w:rsidRPr="005F32B3">
              <w:rPr>
                <w:rFonts w:ascii="Tahoma" w:hAnsi="Tahoma" w:cs="Tahoma"/>
              </w:rPr>
              <w:t>: 210 6871769</w:t>
            </w:r>
          </w:p>
          <w:p w:rsidR="00A26522" w:rsidRPr="005F32B3" w:rsidRDefault="00A26522" w:rsidP="00A26522">
            <w:pPr>
              <w:rPr>
                <w:rFonts w:ascii="Tahoma" w:hAnsi="Tahoma" w:cs="Tahoma"/>
              </w:rPr>
            </w:pPr>
            <w:proofErr w:type="spellStart"/>
            <w:r w:rsidRPr="005F32B3">
              <w:rPr>
                <w:rFonts w:ascii="Tahoma" w:hAnsi="Tahoma" w:cs="Tahoma"/>
              </w:rPr>
              <w:t>Ταχ</w:t>
            </w:r>
            <w:proofErr w:type="spellEnd"/>
            <w:r w:rsidRPr="005F32B3">
              <w:rPr>
                <w:rFonts w:ascii="Tahoma" w:hAnsi="Tahoma" w:cs="Tahoma"/>
              </w:rPr>
              <w:t xml:space="preserve">. Διεύθυνση: Αποστόλου Παύλου 12 </w:t>
            </w:r>
          </w:p>
          <w:p w:rsidR="00A26522" w:rsidRPr="005F32B3" w:rsidRDefault="00A26522" w:rsidP="00A26522">
            <w:pPr>
              <w:rPr>
                <w:rFonts w:ascii="Tahoma" w:hAnsi="Tahoma" w:cs="Tahoma"/>
                <w:lang w:val="en-US"/>
              </w:rPr>
            </w:pPr>
            <w:r w:rsidRPr="005F32B3">
              <w:rPr>
                <w:rFonts w:ascii="Tahoma" w:hAnsi="Tahoma" w:cs="Tahoma"/>
                <w:lang w:val="en-US"/>
              </w:rPr>
              <w:t>E</w:t>
            </w:r>
            <w:r w:rsidRPr="002858E3">
              <w:rPr>
                <w:rFonts w:ascii="Tahoma" w:hAnsi="Tahoma" w:cs="Tahoma"/>
                <w:lang w:val="en-US"/>
              </w:rPr>
              <w:t xml:space="preserve">- </w:t>
            </w:r>
            <w:r w:rsidRPr="005F32B3">
              <w:rPr>
                <w:rFonts w:ascii="Tahoma" w:hAnsi="Tahoma" w:cs="Tahoma"/>
                <w:lang w:val="en-US"/>
              </w:rPr>
              <w:t>mail</w:t>
            </w:r>
            <w:r w:rsidRPr="002858E3">
              <w:rPr>
                <w:rFonts w:ascii="Tahoma" w:hAnsi="Tahoma" w:cs="Tahoma"/>
                <w:lang w:val="en-US"/>
              </w:rPr>
              <w:t xml:space="preserve">: </w:t>
            </w:r>
            <w:hyperlink r:id="rId6" w:history="1">
              <w:r w:rsidRPr="005F32B3">
                <w:rPr>
                  <w:rStyle w:val="-"/>
                  <w:rFonts w:ascii="Tahoma" w:hAnsi="Tahoma" w:cs="Tahoma"/>
                  <w:lang w:val="en-US"/>
                </w:rPr>
                <w:t>president@eopyy.gov.gr</w:t>
              </w:r>
            </w:hyperlink>
          </w:p>
          <w:p w:rsidR="00A26522" w:rsidRPr="00A26522" w:rsidRDefault="00A26522">
            <w:pPr>
              <w:widowControl w:val="0"/>
              <w:autoSpaceDE w:val="0"/>
              <w:autoSpaceDN w:val="0"/>
              <w:adjustRightInd w:val="0"/>
              <w:rPr>
                <w:rFonts w:ascii="Tahoma" w:eastAsia="Times New Roman" w:hAnsi="Tahoma" w:cs="Tahoma"/>
                <w:snapToGrid w:val="0"/>
                <w:sz w:val="20"/>
                <w:szCs w:val="20"/>
                <w:lang w:val="en-US" w:eastAsia="el-GR"/>
              </w:rPr>
            </w:pPr>
          </w:p>
          <w:p w:rsidR="00A26522" w:rsidRPr="00A26522" w:rsidRDefault="00A26522">
            <w:pPr>
              <w:widowControl w:val="0"/>
              <w:autoSpaceDE w:val="0"/>
              <w:autoSpaceDN w:val="0"/>
              <w:adjustRightInd w:val="0"/>
              <w:rPr>
                <w:rFonts w:ascii="Tahoma" w:eastAsia="Times New Roman" w:hAnsi="Tahoma" w:cs="Tahoma"/>
                <w:snapToGrid w:val="0"/>
                <w:sz w:val="20"/>
                <w:szCs w:val="20"/>
                <w:lang w:val="en-US" w:eastAsia="el-GR"/>
              </w:rPr>
            </w:pPr>
          </w:p>
        </w:tc>
        <w:tc>
          <w:tcPr>
            <w:tcW w:w="0" w:type="auto"/>
            <w:vMerge/>
            <w:vAlign w:val="center"/>
            <w:hideMark/>
          </w:tcPr>
          <w:p w:rsidR="00A26522" w:rsidRPr="00A26522" w:rsidRDefault="00A26522">
            <w:pPr>
              <w:rPr>
                <w:rFonts w:ascii="Tahoma" w:eastAsia="Times New Roman" w:hAnsi="Tahoma" w:cs="Tahoma"/>
                <w:b/>
                <w:snapToGrid w:val="0"/>
                <w:sz w:val="20"/>
                <w:szCs w:val="20"/>
                <w:lang w:val="en-US" w:eastAsia="el-GR"/>
              </w:rPr>
            </w:pPr>
          </w:p>
        </w:tc>
      </w:tr>
      <w:tr w:rsidR="00A26522" w:rsidRPr="002858E3" w:rsidTr="00A26522">
        <w:trPr>
          <w:trHeight w:val="70"/>
        </w:trPr>
        <w:tc>
          <w:tcPr>
            <w:tcW w:w="4869" w:type="dxa"/>
            <w:hideMark/>
          </w:tcPr>
          <w:p w:rsidR="00A26522" w:rsidRPr="00A26522" w:rsidRDefault="00A26522">
            <w:pPr>
              <w:widowControl w:val="0"/>
              <w:autoSpaceDE w:val="0"/>
              <w:autoSpaceDN w:val="0"/>
              <w:adjustRightInd w:val="0"/>
              <w:rPr>
                <w:rFonts w:ascii="Tahoma" w:eastAsia="Times New Roman" w:hAnsi="Tahoma" w:cs="Tahoma"/>
                <w:snapToGrid w:val="0"/>
                <w:sz w:val="20"/>
                <w:szCs w:val="20"/>
                <w:lang w:val="en-US" w:eastAsia="el-GR"/>
              </w:rPr>
            </w:pPr>
          </w:p>
        </w:tc>
        <w:tc>
          <w:tcPr>
            <w:tcW w:w="0" w:type="auto"/>
            <w:vMerge/>
            <w:vAlign w:val="center"/>
            <w:hideMark/>
          </w:tcPr>
          <w:p w:rsidR="00A26522" w:rsidRPr="00A26522" w:rsidRDefault="00A26522">
            <w:pPr>
              <w:rPr>
                <w:rFonts w:ascii="Tahoma" w:eastAsia="Times New Roman" w:hAnsi="Tahoma" w:cs="Tahoma"/>
                <w:b/>
                <w:snapToGrid w:val="0"/>
                <w:sz w:val="20"/>
                <w:szCs w:val="20"/>
                <w:lang w:val="en-US" w:eastAsia="el-GR"/>
              </w:rPr>
            </w:pPr>
          </w:p>
        </w:tc>
      </w:tr>
      <w:tr w:rsidR="00A26522" w:rsidRPr="002858E3" w:rsidTr="00A26522">
        <w:trPr>
          <w:trHeight w:val="80"/>
        </w:trPr>
        <w:tc>
          <w:tcPr>
            <w:tcW w:w="4869" w:type="dxa"/>
            <w:hideMark/>
          </w:tcPr>
          <w:p w:rsidR="00A26522" w:rsidRDefault="00A26522">
            <w:pPr>
              <w:widowControl w:val="0"/>
              <w:autoSpaceDE w:val="0"/>
              <w:autoSpaceDN w:val="0"/>
              <w:adjustRightInd w:val="0"/>
              <w:rPr>
                <w:rFonts w:ascii="Tahoma" w:eastAsia="Times New Roman" w:hAnsi="Tahoma" w:cs="Tahoma"/>
                <w:snapToGrid w:val="0"/>
                <w:sz w:val="20"/>
                <w:szCs w:val="20"/>
                <w:lang w:val="it-IT" w:eastAsia="el-GR"/>
              </w:rPr>
            </w:pPr>
          </w:p>
        </w:tc>
        <w:tc>
          <w:tcPr>
            <w:tcW w:w="0" w:type="auto"/>
            <w:vMerge/>
            <w:vAlign w:val="center"/>
            <w:hideMark/>
          </w:tcPr>
          <w:p w:rsidR="00A26522" w:rsidRPr="00A26522" w:rsidRDefault="00A26522">
            <w:pPr>
              <w:rPr>
                <w:rFonts w:ascii="Tahoma" w:eastAsia="Times New Roman" w:hAnsi="Tahoma" w:cs="Tahoma"/>
                <w:b/>
                <w:snapToGrid w:val="0"/>
                <w:sz w:val="20"/>
                <w:szCs w:val="20"/>
                <w:lang w:val="en-US" w:eastAsia="el-GR"/>
              </w:rPr>
            </w:pPr>
          </w:p>
        </w:tc>
      </w:tr>
    </w:tbl>
    <w:p w:rsidR="00A26522" w:rsidRDefault="00A26522" w:rsidP="00A26522">
      <w:pPr>
        <w:rPr>
          <w:rFonts w:ascii="Tahoma" w:hAnsi="Tahoma" w:cs="Tahoma"/>
          <w:sz w:val="24"/>
          <w:szCs w:val="24"/>
          <w:lang w:val="en-US"/>
        </w:rPr>
      </w:pPr>
    </w:p>
    <w:p w:rsidR="000B2747" w:rsidRPr="002858E3" w:rsidRDefault="002858E3">
      <w:pPr>
        <w:rPr>
          <w:rFonts w:ascii="Tahoma" w:hAnsi="Tahoma" w:cs="Tahoma"/>
          <w:b/>
          <w:sz w:val="24"/>
          <w:szCs w:val="24"/>
          <w:u w:val="single"/>
        </w:rPr>
      </w:pPr>
      <w:r>
        <w:rPr>
          <w:rFonts w:ascii="Helvetica" w:hAnsi="Helvetica"/>
          <w:color w:val="000000"/>
          <w:shd w:val="clear" w:color="auto" w:fill="FFFFFF"/>
        </w:rPr>
        <w:t>ΔΙΑΓΝΩΣΤΙΚΕΣ - ΠΑΡΑΚΛΙΝΙΚΕΣ ΕΞΕΤΑΣΕΙΣ</w:t>
      </w:r>
    </w:p>
    <w:p w:rsidR="006E1A8F" w:rsidRDefault="006E1A8F">
      <w:pPr>
        <w:rPr>
          <w:rFonts w:ascii="Tahoma" w:hAnsi="Tahoma" w:cs="Tahoma"/>
          <w:sz w:val="24"/>
          <w:szCs w:val="24"/>
        </w:rPr>
      </w:pPr>
      <w:r>
        <w:rPr>
          <w:rFonts w:ascii="Tahoma" w:hAnsi="Tahoma" w:cs="Tahoma"/>
          <w:sz w:val="24"/>
          <w:szCs w:val="24"/>
        </w:rPr>
        <w:t xml:space="preserve">Κύριε πρόεδρε, </w:t>
      </w:r>
    </w:p>
    <w:p w:rsidR="00B216E5" w:rsidRDefault="00B216E5">
      <w:pPr>
        <w:rPr>
          <w:rFonts w:ascii="Tahoma" w:hAnsi="Tahoma" w:cs="Tahoma"/>
          <w:sz w:val="24"/>
          <w:szCs w:val="24"/>
        </w:rPr>
      </w:pPr>
    </w:p>
    <w:p w:rsidR="006E1A8F" w:rsidRDefault="006E1A8F">
      <w:pPr>
        <w:rPr>
          <w:rFonts w:ascii="Tahoma" w:hAnsi="Tahoma" w:cs="Tahoma"/>
          <w:sz w:val="24"/>
          <w:szCs w:val="24"/>
        </w:rPr>
      </w:pPr>
      <w:r>
        <w:rPr>
          <w:rFonts w:ascii="Tahoma" w:hAnsi="Tahoma" w:cs="Tahoma"/>
          <w:sz w:val="24"/>
          <w:szCs w:val="24"/>
        </w:rPr>
        <w:t xml:space="preserve">Όπως γνωρίζετε ο όγκος αλλά και η δαπάνη για τις </w:t>
      </w:r>
      <w:proofErr w:type="spellStart"/>
      <w:r>
        <w:rPr>
          <w:rFonts w:ascii="Tahoma" w:hAnsi="Tahoma" w:cs="Tahoma"/>
          <w:sz w:val="24"/>
          <w:szCs w:val="24"/>
        </w:rPr>
        <w:t>παρακλινικές</w:t>
      </w:r>
      <w:proofErr w:type="spellEnd"/>
      <w:r>
        <w:rPr>
          <w:rFonts w:ascii="Tahoma" w:hAnsi="Tahoma" w:cs="Tahoma"/>
          <w:sz w:val="24"/>
          <w:szCs w:val="24"/>
        </w:rPr>
        <w:t xml:space="preserve"> εξετάσεις που καλείται να αποζημιώσει ο ΕΟΠΥΥ έχουν εκτοξευθεί τα τελευταία χρόνια σε δυσθεώρητα επίπεδα. </w:t>
      </w:r>
    </w:p>
    <w:p w:rsidR="006E1A8F" w:rsidRPr="006E1A8F" w:rsidRDefault="006E1A8F" w:rsidP="00CB2919">
      <w:pPr>
        <w:jc w:val="both"/>
        <w:rPr>
          <w:rFonts w:ascii="Tahoma" w:hAnsi="Tahoma" w:cs="Tahoma"/>
          <w:sz w:val="24"/>
          <w:szCs w:val="24"/>
        </w:rPr>
      </w:pPr>
      <w:r>
        <w:rPr>
          <w:rFonts w:ascii="Tahoma" w:hAnsi="Tahoma" w:cs="Tahoma"/>
          <w:sz w:val="24"/>
          <w:szCs w:val="24"/>
        </w:rPr>
        <w:t>Ενδεικτικά παραθέτουμε τα στοιχεία των ετών 2013 και 2014</w:t>
      </w:r>
      <w:r w:rsidRPr="006E1A8F">
        <w:rPr>
          <w:rFonts w:ascii="Tahoma" w:hAnsi="Tahoma" w:cs="Tahoma"/>
          <w:sz w:val="24"/>
          <w:szCs w:val="24"/>
        </w:rPr>
        <w:t>:</w:t>
      </w:r>
    </w:p>
    <w:tbl>
      <w:tblPr>
        <w:tblW w:w="5240" w:type="dxa"/>
        <w:tblLook w:val="04A0"/>
      </w:tblPr>
      <w:tblGrid>
        <w:gridCol w:w="844"/>
        <w:gridCol w:w="1829"/>
        <w:gridCol w:w="2567"/>
      </w:tblGrid>
      <w:tr w:rsidR="006E1A8F" w:rsidRPr="008331D0" w:rsidTr="008002FC">
        <w:trPr>
          <w:trHeight w:val="300"/>
        </w:trPr>
        <w:tc>
          <w:tcPr>
            <w:tcW w:w="5240" w:type="dxa"/>
            <w:gridSpan w:val="3"/>
            <w:tcBorders>
              <w:top w:val="nil"/>
              <w:left w:val="nil"/>
              <w:bottom w:val="nil"/>
              <w:right w:val="nil"/>
            </w:tcBorders>
            <w:shd w:val="clear" w:color="auto" w:fill="auto"/>
            <w:noWrap/>
            <w:vAlign w:val="bottom"/>
            <w:hideMark/>
          </w:tcPr>
          <w:p w:rsidR="006E1A8F" w:rsidRDefault="006E1A8F" w:rsidP="008002FC">
            <w:pPr>
              <w:jc w:val="center"/>
              <w:rPr>
                <w:rFonts w:ascii="Calibri" w:eastAsia="Times New Roman" w:hAnsi="Calibri" w:cs="Times New Roman"/>
                <w:b/>
                <w:bCs/>
                <w:color w:val="000000"/>
                <w:lang w:eastAsia="el-GR"/>
              </w:rPr>
            </w:pPr>
          </w:p>
          <w:p w:rsidR="006E1A8F" w:rsidRPr="008331D0" w:rsidRDefault="006E1A8F" w:rsidP="008002FC">
            <w:pPr>
              <w:jc w:val="center"/>
              <w:rPr>
                <w:rFonts w:ascii="Calibri" w:eastAsia="Times New Roman" w:hAnsi="Calibri" w:cs="Times New Roman"/>
                <w:b/>
                <w:bCs/>
                <w:color w:val="000000"/>
                <w:lang w:eastAsia="el-GR"/>
              </w:rPr>
            </w:pPr>
            <w:r w:rsidRPr="008331D0">
              <w:rPr>
                <w:rFonts w:ascii="Calibri" w:eastAsia="Times New Roman" w:hAnsi="Calibri" w:cs="Times New Roman"/>
                <w:b/>
                <w:bCs/>
                <w:color w:val="000000"/>
                <w:lang w:eastAsia="el-GR"/>
              </w:rPr>
              <w:t>ΓΙΑ ΤΟ ΣΥΝΟΛΟ ΤΩΝ ΕΞΕΤΑΣΕΩΝ</w:t>
            </w:r>
          </w:p>
        </w:tc>
      </w:tr>
      <w:tr w:rsidR="006E1A8F" w:rsidRPr="008331D0" w:rsidTr="008002FC">
        <w:trPr>
          <w:trHeight w:val="300"/>
        </w:trPr>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E1A8F" w:rsidRPr="008331D0" w:rsidRDefault="006E1A8F" w:rsidP="008002FC">
            <w:pPr>
              <w:jc w:val="center"/>
              <w:rPr>
                <w:rFonts w:ascii="Calibri" w:eastAsia="Times New Roman" w:hAnsi="Calibri" w:cs="Times New Roman"/>
                <w:b/>
                <w:bCs/>
                <w:color w:val="000000"/>
                <w:lang w:eastAsia="el-GR"/>
              </w:rPr>
            </w:pPr>
            <w:r w:rsidRPr="008331D0">
              <w:rPr>
                <w:rFonts w:ascii="Calibri" w:eastAsia="Times New Roman" w:hAnsi="Calibri" w:cs="Times New Roman"/>
                <w:b/>
                <w:bCs/>
                <w:color w:val="000000"/>
                <w:lang w:eastAsia="el-GR"/>
              </w:rPr>
              <w:t>Έτος</w:t>
            </w:r>
          </w:p>
        </w:tc>
        <w:tc>
          <w:tcPr>
            <w:tcW w:w="1829" w:type="dxa"/>
            <w:tcBorders>
              <w:top w:val="single" w:sz="4" w:space="0" w:color="auto"/>
              <w:left w:val="nil"/>
              <w:bottom w:val="single" w:sz="4" w:space="0" w:color="auto"/>
              <w:right w:val="single" w:sz="4" w:space="0" w:color="auto"/>
            </w:tcBorders>
            <w:shd w:val="clear" w:color="000000" w:fill="D9D9D9"/>
            <w:noWrap/>
            <w:vAlign w:val="bottom"/>
            <w:hideMark/>
          </w:tcPr>
          <w:p w:rsidR="006E1A8F" w:rsidRPr="008331D0" w:rsidRDefault="006E1A8F" w:rsidP="008002FC">
            <w:pPr>
              <w:jc w:val="center"/>
              <w:rPr>
                <w:rFonts w:ascii="Calibri" w:eastAsia="Times New Roman" w:hAnsi="Calibri" w:cs="Times New Roman"/>
                <w:b/>
                <w:bCs/>
                <w:color w:val="000000"/>
                <w:lang w:eastAsia="el-GR"/>
              </w:rPr>
            </w:pPr>
            <w:r w:rsidRPr="008331D0">
              <w:rPr>
                <w:rFonts w:ascii="Calibri" w:eastAsia="Times New Roman" w:hAnsi="Calibri" w:cs="Times New Roman"/>
                <w:b/>
                <w:bCs/>
                <w:color w:val="000000"/>
                <w:lang w:eastAsia="el-GR"/>
              </w:rPr>
              <w:t>Πλήθος</w:t>
            </w:r>
          </w:p>
        </w:tc>
        <w:tc>
          <w:tcPr>
            <w:tcW w:w="2567" w:type="dxa"/>
            <w:tcBorders>
              <w:top w:val="single" w:sz="4" w:space="0" w:color="auto"/>
              <w:left w:val="nil"/>
              <w:bottom w:val="single" w:sz="4" w:space="0" w:color="auto"/>
              <w:right w:val="single" w:sz="4" w:space="0" w:color="auto"/>
            </w:tcBorders>
            <w:shd w:val="clear" w:color="000000" w:fill="D9D9D9"/>
            <w:noWrap/>
            <w:vAlign w:val="bottom"/>
            <w:hideMark/>
          </w:tcPr>
          <w:p w:rsidR="006E1A8F" w:rsidRPr="008331D0" w:rsidRDefault="006E1A8F" w:rsidP="008002FC">
            <w:pPr>
              <w:jc w:val="center"/>
              <w:rPr>
                <w:rFonts w:ascii="Calibri" w:eastAsia="Times New Roman" w:hAnsi="Calibri" w:cs="Times New Roman"/>
                <w:b/>
                <w:bCs/>
                <w:color w:val="000000"/>
                <w:lang w:eastAsia="el-GR"/>
              </w:rPr>
            </w:pPr>
            <w:r w:rsidRPr="008331D0">
              <w:rPr>
                <w:rFonts w:ascii="Calibri" w:eastAsia="Times New Roman" w:hAnsi="Calibri" w:cs="Times New Roman"/>
                <w:b/>
                <w:bCs/>
                <w:color w:val="000000"/>
                <w:lang w:eastAsia="el-GR"/>
              </w:rPr>
              <w:t>Δαπάνη (ευρώ)</w:t>
            </w:r>
          </w:p>
        </w:tc>
      </w:tr>
      <w:tr w:rsidR="006E1A8F" w:rsidRPr="008331D0" w:rsidTr="008002FC">
        <w:trPr>
          <w:trHeight w:val="300"/>
        </w:trPr>
        <w:tc>
          <w:tcPr>
            <w:tcW w:w="844" w:type="dxa"/>
            <w:tcBorders>
              <w:top w:val="nil"/>
              <w:left w:val="single" w:sz="4" w:space="0" w:color="auto"/>
              <w:bottom w:val="single" w:sz="4" w:space="0" w:color="auto"/>
              <w:right w:val="single" w:sz="4" w:space="0" w:color="auto"/>
            </w:tcBorders>
            <w:shd w:val="clear" w:color="auto" w:fill="auto"/>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2013</w:t>
            </w:r>
          </w:p>
        </w:tc>
        <w:tc>
          <w:tcPr>
            <w:tcW w:w="1829" w:type="dxa"/>
            <w:tcBorders>
              <w:top w:val="nil"/>
              <w:left w:val="nil"/>
              <w:bottom w:val="single" w:sz="4" w:space="0" w:color="auto"/>
              <w:right w:val="single" w:sz="4" w:space="0" w:color="auto"/>
            </w:tcBorders>
            <w:shd w:val="clear" w:color="auto" w:fill="auto"/>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93.863.703</w:t>
            </w:r>
          </w:p>
        </w:tc>
        <w:tc>
          <w:tcPr>
            <w:tcW w:w="2567" w:type="dxa"/>
            <w:tcBorders>
              <w:top w:val="nil"/>
              <w:left w:val="nil"/>
              <w:bottom w:val="single" w:sz="4" w:space="0" w:color="auto"/>
              <w:right w:val="single" w:sz="4" w:space="0" w:color="auto"/>
            </w:tcBorders>
            <w:shd w:val="clear" w:color="auto" w:fill="auto"/>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580.274.256,32</w:t>
            </w:r>
          </w:p>
        </w:tc>
      </w:tr>
      <w:tr w:rsidR="006E1A8F" w:rsidRPr="008331D0" w:rsidTr="008002FC">
        <w:trPr>
          <w:trHeight w:val="300"/>
        </w:trPr>
        <w:tc>
          <w:tcPr>
            <w:tcW w:w="844" w:type="dxa"/>
            <w:tcBorders>
              <w:top w:val="nil"/>
              <w:left w:val="single" w:sz="4" w:space="0" w:color="auto"/>
              <w:bottom w:val="single" w:sz="4" w:space="0" w:color="auto"/>
              <w:right w:val="single" w:sz="4" w:space="0" w:color="auto"/>
            </w:tcBorders>
            <w:shd w:val="clear" w:color="auto" w:fill="auto"/>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2014</w:t>
            </w:r>
          </w:p>
        </w:tc>
        <w:tc>
          <w:tcPr>
            <w:tcW w:w="1829" w:type="dxa"/>
            <w:tcBorders>
              <w:top w:val="nil"/>
              <w:left w:val="nil"/>
              <w:bottom w:val="single" w:sz="4" w:space="0" w:color="auto"/>
              <w:right w:val="single" w:sz="4" w:space="0" w:color="auto"/>
            </w:tcBorders>
            <w:shd w:val="clear" w:color="DDEBF7" w:fill="FFFFFF"/>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97.591.600</w:t>
            </w:r>
          </w:p>
        </w:tc>
        <w:tc>
          <w:tcPr>
            <w:tcW w:w="2567" w:type="dxa"/>
            <w:tcBorders>
              <w:top w:val="nil"/>
              <w:left w:val="nil"/>
              <w:bottom w:val="single" w:sz="4" w:space="0" w:color="auto"/>
              <w:right w:val="single" w:sz="4" w:space="0" w:color="auto"/>
            </w:tcBorders>
            <w:shd w:val="clear" w:color="DDEBF7" w:fill="FFFFFF"/>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601.615.085,23</w:t>
            </w:r>
          </w:p>
        </w:tc>
      </w:tr>
      <w:tr w:rsidR="006E1A8F" w:rsidRPr="008331D0" w:rsidTr="008002FC">
        <w:trPr>
          <w:trHeight w:val="300"/>
        </w:trPr>
        <w:tc>
          <w:tcPr>
            <w:tcW w:w="844" w:type="dxa"/>
            <w:tcBorders>
              <w:top w:val="nil"/>
              <w:left w:val="nil"/>
              <w:bottom w:val="nil"/>
              <w:right w:val="nil"/>
            </w:tcBorders>
            <w:shd w:val="clear" w:color="auto" w:fill="auto"/>
            <w:noWrap/>
            <w:vAlign w:val="bottom"/>
            <w:hideMark/>
          </w:tcPr>
          <w:p w:rsidR="006E1A8F" w:rsidRPr="008331D0" w:rsidRDefault="006E1A8F" w:rsidP="008002FC">
            <w:pPr>
              <w:jc w:val="center"/>
              <w:rPr>
                <w:rFonts w:ascii="Calibri" w:eastAsia="Times New Roman" w:hAnsi="Calibri" w:cs="Times New Roman"/>
                <w:color w:val="000000"/>
                <w:lang w:eastAsia="el-GR"/>
              </w:rPr>
            </w:pPr>
          </w:p>
        </w:tc>
        <w:tc>
          <w:tcPr>
            <w:tcW w:w="1829" w:type="dxa"/>
            <w:tcBorders>
              <w:top w:val="nil"/>
              <w:left w:val="nil"/>
              <w:bottom w:val="nil"/>
              <w:right w:val="nil"/>
            </w:tcBorders>
            <w:shd w:val="clear" w:color="auto" w:fill="auto"/>
            <w:noWrap/>
            <w:vAlign w:val="bottom"/>
            <w:hideMark/>
          </w:tcPr>
          <w:p w:rsidR="006E1A8F" w:rsidRPr="008331D0" w:rsidRDefault="006E1A8F" w:rsidP="008002FC">
            <w:pPr>
              <w:jc w:val="center"/>
              <w:rPr>
                <w:rFonts w:ascii="Times New Roman" w:eastAsia="Times New Roman" w:hAnsi="Times New Roman" w:cs="Times New Roman"/>
                <w:sz w:val="20"/>
                <w:szCs w:val="20"/>
                <w:lang w:eastAsia="el-GR"/>
              </w:rPr>
            </w:pPr>
          </w:p>
        </w:tc>
        <w:tc>
          <w:tcPr>
            <w:tcW w:w="2567" w:type="dxa"/>
            <w:tcBorders>
              <w:top w:val="nil"/>
              <w:left w:val="nil"/>
              <w:bottom w:val="nil"/>
              <w:right w:val="nil"/>
            </w:tcBorders>
            <w:shd w:val="clear" w:color="auto" w:fill="auto"/>
            <w:noWrap/>
            <w:vAlign w:val="bottom"/>
            <w:hideMark/>
          </w:tcPr>
          <w:p w:rsidR="006E1A8F" w:rsidRPr="008331D0" w:rsidRDefault="006E1A8F" w:rsidP="008002FC">
            <w:pPr>
              <w:jc w:val="center"/>
              <w:rPr>
                <w:rFonts w:ascii="Times New Roman" w:eastAsia="Times New Roman" w:hAnsi="Times New Roman" w:cs="Times New Roman"/>
                <w:sz w:val="20"/>
                <w:szCs w:val="20"/>
                <w:lang w:eastAsia="el-GR"/>
              </w:rPr>
            </w:pPr>
          </w:p>
        </w:tc>
      </w:tr>
      <w:tr w:rsidR="006E1A8F" w:rsidRPr="008331D0" w:rsidTr="008002FC">
        <w:trPr>
          <w:trHeight w:val="300"/>
        </w:trPr>
        <w:tc>
          <w:tcPr>
            <w:tcW w:w="5240" w:type="dxa"/>
            <w:gridSpan w:val="3"/>
            <w:tcBorders>
              <w:top w:val="nil"/>
              <w:left w:val="nil"/>
              <w:bottom w:val="nil"/>
              <w:right w:val="nil"/>
            </w:tcBorders>
            <w:shd w:val="clear" w:color="auto" w:fill="auto"/>
            <w:noWrap/>
            <w:vAlign w:val="bottom"/>
            <w:hideMark/>
          </w:tcPr>
          <w:p w:rsidR="006E1A8F" w:rsidRPr="008331D0" w:rsidRDefault="006E1A8F" w:rsidP="008002FC">
            <w:pPr>
              <w:jc w:val="center"/>
              <w:rPr>
                <w:rFonts w:ascii="Calibri" w:eastAsia="Times New Roman" w:hAnsi="Calibri" w:cs="Times New Roman"/>
                <w:b/>
                <w:bCs/>
                <w:color w:val="000000"/>
                <w:lang w:eastAsia="el-GR"/>
              </w:rPr>
            </w:pPr>
            <w:r w:rsidRPr="008331D0">
              <w:rPr>
                <w:rFonts w:ascii="Calibri" w:eastAsia="Times New Roman" w:hAnsi="Calibri" w:cs="Times New Roman"/>
                <w:b/>
                <w:bCs/>
                <w:color w:val="000000"/>
                <w:lang w:eastAsia="el-GR"/>
              </w:rPr>
              <w:t>ΜΟΝ</w:t>
            </w:r>
            <w:r>
              <w:rPr>
                <w:rFonts w:ascii="Calibri" w:eastAsia="Times New Roman" w:hAnsi="Calibri" w:cs="Times New Roman"/>
                <w:b/>
                <w:bCs/>
                <w:color w:val="000000"/>
                <w:lang w:eastAsia="el-GR"/>
              </w:rPr>
              <w:t>Ο ΟΙ ΕΞΕΤΑΣΕΙΣ ΒΙΟΛΟΓΙΚΩΝ ΥΓΡΩΝ</w:t>
            </w:r>
          </w:p>
        </w:tc>
      </w:tr>
      <w:tr w:rsidR="006E1A8F" w:rsidRPr="008331D0" w:rsidTr="008002FC">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2013</w:t>
            </w:r>
          </w:p>
        </w:tc>
        <w:tc>
          <w:tcPr>
            <w:tcW w:w="1829" w:type="dxa"/>
            <w:tcBorders>
              <w:top w:val="single" w:sz="4" w:space="0" w:color="auto"/>
              <w:left w:val="nil"/>
              <w:bottom w:val="single" w:sz="4" w:space="0" w:color="auto"/>
              <w:right w:val="single" w:sz="4" w:space="0" w:color="auto"/>
            </w:tcBorders>
            <w:shd w:val="clear" w:color="auto" w:fill="auto"/>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82.750.078</w:t>
            </w:r>
          </w:p>
        </w:tc>
        <w:tc>
          <w:tcPr>
            <w:tcW w:w="2567" w:type="dxa"/>
            <w:tcBorders>
              <w:top w:val="single" w:sz="4" w:space="0" w:color="auto"/>
              <w:left w:val="nil"/>
              <w:bottom w:val="single" w:sz="4" w:space="0" w:color="auto"/>
              <w:right w:val="single" w:sz="4" w:space="0" w:color="auto"/>
            </w:tcBorders>
            <w:shd w:val="clear" w:color="auto" w:fill="auto"/>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341.953.387,77</w:t>
            </w:r>
          </w:p>
        </w:tc>
      </w:tr>
      <w:tr w:rsidR="006E1A8F" w:rsidRPr="008331D0" w:rsidTr="008002FC">
        <w:trPr>
          <w:trHeight w:val="300"/>
        </w:trPr>
        <w:tc>
          <w:tcPr>
            <w:tcW w:w="844" w:type="dxa"/>
            <w:tcBorders>
              <w:top w:val="nil"/>
              <w:left w:val="single" w:sz="4" w:space="0" w:color="auto"/>
              <w:bottom w:val="single" w:sz="4" w:space="0" w:color="auto"/>
              <w:right w:val="single" w:sz="4" w:space="0" w:color="auto"/>
            </w:tcBorders>
            <w:shd w:val="clear" w:color="auto" w:fill="auto"/>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2014</w:t>
            </w:r>
          </w:p>
        </w:tc>
        <w:tc>
          <w:tcPr>
            <w:tcW w:w="1829" w:type="dxa"/>
            <w:tcBorders>
              <w:top w:val="nil"/>
              <w:left w:val="nil"/>
              <w:bottom w:val="single" w:sz="4" w:space="0" w:color="auto"/>
              <w:right w:val="single" w:sz="4" w:space="0" w:color="auto"/>
            </w:tcBorders>
            <w:shd w:val="clear" w:color="DDEBF7" w:fill="FFFFFF"/>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86.874.796</w:t>
            </w:r>
          </w:p>
        </w:tc>
        <w:tc>
          <w:tcPr>
            <w:tcW w:w="2567" w:type="dxa"/>
            <w:tcBorders>
              <w:top w:val="nil"/>
              <w:left w:val="nil"/>
              <w:bottom w:val="single" w:sz="4" w:space="0" w:color="auto"/>
              <w:right w:val="single" w:sz="4" w:space="0" w:color="auto"/>
            </w:tcBorders>
            <w:shd w:val="clear" w:color="DDEBF7" w:fill="FFFFFF"/>
            <w:noWrap/>
            <w:vAlign w:val="bottom"/>
            <w:hideMark/>
          </w:tcPr>
          <w:p w:rsidR="006E1A8F" w:rsidRPr="008331D0" w:rsidRDefault="006E1A8F" w:rsidP="008002FC">
            <w:pPr>
              <w:jc w:val="center"/>
              <w:rPr>
                <w:rFonts w:ascii="Calibri" w:eastAsia="Times New Roman" w:hAnsi="Calibri" w:cs="Times New Roman"/>
                <w:color w:val="000000"/>
                <w:lang w:eastAsia="el-GR"/>
              </w:rPr>
            </w:pPr>
            <w:r w:rsidRPr="008331D0">
              <w:rPr>
                <w:rFonts w:ascii="Calibri" w:eastAsia="Times New Roman" w:hAnsi="Calibri" w:cs="Times New Roman"/>
                <w:color w:val="000000"/>
                <w:lang w:eastAsia="el-GR"/>
              </w:rPr>
              <w:t>359.277.522,47</w:t>
            </w:r>
          </w:p>
        </w:tc>
      </w:tr>
    </w:tbl>
    <w:p w:rsidR="006E1A8F" w:rsidRDefault="006E1A8F">
      <w:pPr>
        <w:rPr>
          <w:rFonts w:ascii="Tahoma" w:hAnsi="Tahoma" w:cs="Tahoma"/>
          <w:sz w:val="24"/>
          <w:szCs w:val="24"/>
        </w:rPr>
      </w:pPr>
    </w:p>
    <w:p w:rsidR="000A5DA0" w:rsidRDefault="006E1A8F" w:rsidP="00CB2919">
      <w:pPr>
        <w:ind w:firstLine="720"/>
        <w:rPr>
          <w:rFonts w:ascii="Tahoma" w:hAnsi="Tahoma" w:cs="Tahoma"/>
          <w:sz w:val="24"/>
          <w:szCs w:val="24"/>
        </w:rPr>
      </w:pPr>
      <w:r>
        <w:rPr>
          <w:rFonts w:ascii="Tahoma" w:hAnsi="Tahoma" w:cs="Tahoma"/>
          <w:sz w:val="24"/>
          <w:szCs w:val="24"/>
        </w:rPr>
        <w:t xml:space="preserve">Την ίδια περίοδο ο ΕΟΠΥΥ εφαρμόζοντας σχετική νομοθεσία επέβαλλε </w:t>
      </w:r>
      <w:proofErr w:type="spellStart"/>
      <w:r>
        <w:rPr>
          <w:rFonts w:ascii="Tahoma" w:hAnsi="Tahoma" w:cs="Tahoma"/>
          <w:sz w:val="24"/>
          <w:szCs w:val="24"/>
          <w:lang w:val="en-US"/>
        </w:rPr>
        <w:t>clawback</w:t>
      </w:r>
      <w:proofErr w:type="spellEnd"/>
      <w:r>
        <w:rPr>
          <w:rFonts w:ascii="Tahoma" w:hAnsi="Tahoma" w:cs="Tahoma"/>
          <w:sz w:val="24"/>
          <w:szCs w:val="24"/>
        </w:rPr>
        <w:t xml:space="preserve">σε ποσοστά από 35%- 50% σε όλους τους παρόχους </w:t>
      </w:r>
      <w:r w:rsidR="000A5DA0">
        <w:rPr>
          <w:rFonts w:ascii="Tahoma" w:hAnsi="Tahoma" w:cs="Tahoma"/>
          <w:sz w:val="24"/>
          <w:szCs w:val="24"/>
        </w:rPr>
        <w:t xml:space="preserve">των διαγνωστικών εξετάσεων </w:t>
      </w:r>
      <w:r>
        <w:rPr>
          <w:rFonts w:ascii="Tahoma" w:hAnsi="Tahoma" w:cs="Tahoma"/>
          <w:sz w:val="24"/>
          <w:szCs w:val="24"/>
        </w:rPr>
        <w:t xml:space="preserve">για τις ανάγκες τήρησης </w:t>
      </w:r>
      <w:r w:rsidR="000A5DA0">
        <w:rPr>
          <w:rFonts w:ascii="Tahoma" w:hAnsi="Tahoma" w:cs="Tahoma"/>
          <w:sz w:val="24"/>
          <w:szCs w:val="24"/>
        </w:rPr>
        <w:t xml:space="preserve">του </w:t>
      </w:r>
      <w:r>
        <w:rPr>
          <w:rFonts w:ascii="Tahoma" w:hAnsi="Tahoma" w:cs="Tahoma"/>
          <w:sz w:val="24"/>
          <w:szCs w:val="24"/>
        </w:rPr>
        <w:t>περιορισμένου κλειστού προϋπολογισμού του</w:t>
      </w:r>
      <w:r w:rsidR="000A5DA0">
        <w:rPr>
          <w:rFonts w:ascii="Tahoma" w:hAnsi="Tahoma" w:cs="Tahoma"/>
          <w:sz w:val="24"/>
          <w:szCs w:val="24"/>
        </w:rPr>
        <w:t>.</w:t>
      </w:r>
    </w:p>
    <w:p w:rsidR="000A5DA0" w:rsidRPr="001D750A" w:rsidRDefault="000A5DA0" w:rsidP="00CB2919">
      <w:pPr>
        <w:ind w:firstLine="720"/>
        <w:rPr>
          <w:rFonts w:ascii="Tahoma" w:hAnsi="Tahoma" w:cs="Tahoma"/>
          <w:sz w:val="24"/>
          <w:szCs w:val="24"/>
        </w:rPr>
      </w:pPr>
      <w:r>
        <w:rPr>
          <w:rFonts w:ascii="Tahoma" w:hAnsi="Tahoma" w:cs="Tahoma"/>
          <w:sz w:val="24"/>
          <w:szCs w:val="24"/>
        </w:rPr>
        <w:t>Γ</w:t>
      </w:r>
      <w:r w:rsidR="006E1A8F">
        <w:rPr>
          <w:rFonts w:ascii="Tahoma" w:hAnsi="Tahoma" w:cs="Tahoma"/>
          <w:sz w:val="24"/>
          <w:szCs w:val="24"/>
        </w:rPr>
        <w:t>ια να μπει ένα τέλος τόσο στην υπερ</w:t>
      </w:r>
      <w:r>
        <w:rPr>
          <w:rFonts w:ascii="Tahoma" w:hAnsi="Tahoma" w:cs="Tahoma"/>
          <w:sz w:val="24"/>
          <w:szCs w:val="24"/>
        </w:rPr>
        <w:t>βολική δαπάνη των εξετάσεων όσο</w:t>
      </w:r>
      <w:r w:rsidR="006E1A8F">
        <w:rPr>
          <w:rFonts w:ascii="Tahoma" w:hAnsi="Tahoma" w:cs="Tahoma"/>
          <w:sz w:val="24"/>
          <w:szCs w:val="24"/>
        </w:rPr>
        <w:t xml:space="preserve"> και στο επαχθές μέτρο του </w:t>
      </w:r>
      <w:proofErr w:type="spellStart"/>
      <w:r>
        <w:rPr>
          <w:rFonts w:ascii="Tahoma" w:hAnsi="Tahoma" w:cs="Tahoma"/>
          <w:sz w:val="24"/>
          <w:szCs w:val="24"/>
          <w:lang w:val="en-US"/>
        </w:rPr>
        <w:t>clawbacko</w:t>
      </w:r>
      <w:proofErr w:type="spellEnd"/>
      <w:r w:rsidR="006E1A8F">
        <w:rPr>
          <w:rFonts w:ascii="Tahoma" w:hAnsi="Tahoma" w:cs="Tahoma"/>
          <w:sz w:val="24"/>
          <w:szCs w:val="24"/>
        </w:rPr>
        <w:t xml:space="preserve">ΕΟΠΥΥ έχει καταθέσει εδώ και αρκετό καιρό μία ολοκληρωμένη πρόταση στο Υπουργείο Υγείας. </w:t>
      </w:r>
    </w:p>
    <w:p w:rsidR="006E1A8F" w:rsidRPr="000B2747" w:rsidRDefault="006E1A8F" w:rsidP="00CB2919">
      <w:pPr>
        <w:ind w:firstLine="720"/>
        <w:rPr>
          <w:rFonts w:ascii="Tahoma" w:hAnsi="Tahoma" w:cs="Tahoma"/>
          <w:sz w:val="24"/>
          <w:szCs w:val="24"/>
        </w:rPr>
      </w:pPr>
      <w:r>
        <w:rPr>
          <w:rFonts w:ascii="Tahoma" w:hAnsi="Tahoma" w:cs="Tahoma"/>
          <w:sz w:val="24"/>
          <w:szCs w:val="24"/>
        </w:rPr>
        <w:t>Η πρόταση αυτή έγινε αποδεκτή από τον Υπουργό Υγείας ο οποίος μας κάλεσε να την θέσουμε υπόψη σας προς διαβούλευση</w:t>
      </w:r>
      <w:r w:rsidR="000A5DA0" w:rsidRPr="000A5DA0">
        <w:rPr>
          <w:rFonts w:ascii="Tahoma" w:hAnsi="Tahoma" w:cs="Tahoma"/>
          <w:sz w:val="24"/>
          <w:szCs w:val="24"/>
        </w:rPr>
        <w:t xml:space="preserve">, </w:t>
      </w:r>
      <w:r w:rsidR="000A5DA0">
        <w:rPr>
          <w:rFonts w:ascii="Tahoma" w:hAnsi="Tahoma" w:cs="Tahoma"/>
          <w:sz w:val="24"/>
          <w:szCs w:val="24"/>
        </w:rPr>
        <w:t>όπως άλλωστε και την παρούσα επιστολή.</w:t>
      </w:r>
    </w:p>
    <w:p w:rsidR="001837E6" w:rsidRDefault="001837E6" w:rsidP="00CB2919">
      <w:pPr>
        <w:ind w:firstLine="720"/>
        <w:rPr>
          <w:rFonts w:ascii="Tahoma" w:hAnsi="Tahoma" w:cs="Tahoma"/>
          <w:sz w:val="24"/>
          <w:szCs w:val="24"/>
        </w:rPr>
      </w:pPr>
      <w:r>
        <w:rPr>
          <w:rFonts w:ascii="Tahoma" w:hAnsi="Tahoma" w:cs="Tahoma"/>
          <w:sz w:val="24"/>
          <w:szCs w:val="24"/>
        </w:rPr>
        <w:t>Η πρόταση</w:t>
      </w:r>
      <w:r w:rsidR="006A0C39">
        <w:rPr>
          <w:rFonts w:ascii="Tahoma" w:hAnsi="Tahoma" w:cs="Tahoma"/>
          <w:sz w:val="24"/>
          <w:szCs w:val="24"/>
        </w:rPr>
        <w:t xml:space="preserve"> αποτελείται από τρεις άξονες</w:t>
      </w:r>
      <w:r>
        <w:rPr>
          <w:rFonts w:ascii="Tahoma" w:hAnsi="Tahoma" w:cs="Tahoma"/>
          <w:sz w:val="24"/>
          <w:szCs w:val="24"/>
        </w:rPr>
        <w:t>:</w:t>
      </w:r>
    </w:p>
    <w:p w:rsidR="001837E6" w:rsidRDefault="001837E6" w:rsidP="00146BD7">
      <w:pPr>
        <w:jc w:val="both"/>
        <w:rPr>
          <w:rFonts w:ascii="Tahoma" w:hAnsi="Tahoma" w:cs="Tahoma"/>
          <w:sz w:val="24"/>
          <w:szCs w:val="24"/>
        </w:rPr>
      </w:pPr>
      <w:r>
        <w:rPr>
          <w:rFonts w:ascii="Tahoma" w:hAnsi="Tahoma" w:cs="Tahoma"/>
          <w:sz w:val="24"/>
          <w:szCs w:val="24"/>
        </w:rPr>
        <w:t xml:space="preserve">Α) </w:t>
      </w:r>
      <w:r w:rsidR="006A0C39">
        <w:rPr>
          <w:rFonts w:ascii="Tahoma" w:hAnsi="Tahoma" w:cs="Tahoma"/>
          <w:sz w:val="24"/>
          <w:szCs w:val="24"/>
        </w:rPr>
        <w:t xml:space="preserve">Η ολοκλήρωση της εφαρμογής των </w:t>
      </w:r>
      <w:r>
        <w:rPr>
          <w:rFonts w:ascii="Tahoma" w:hAnsi="Tahoma" w:cs="Tahoma"/>
          <w:sz w:val="24"/>
          <w:szCs w:val="24"/>
        </w:rPr>
        <w:t xml:space="preserve">κατευθυντήριων οδηγιών και </w:t>
      </w:r>
      <w:r w:rsidR="00146BD7">
        <w:rPr>
          <w:rFonts w:ascii="Tahoma" w:hAnsi="Tahoma" w:cs="Tahoma"/>
          <w:sz w:val="24"/>
          <w:szCs w:val="24"/>
        </w:rPr>
        <w:t>αριθμητικών</w:t>
      </w:r>
      <w:r>
        <w:rPr>
          <w:rFonts w:ascii="Tahoma" w:hAnsi="Tahoma" w:cs="Tahoma"/>
          <w:sz w:val="24"/>
          <w:szCs w:val="24"/>
        </w:rPr>
        <w:t xml:space="preserve"> ορίων παραπομπής </w:t>
      </w:r>
      <w:proofErr w:type="spellStart"/>
      <w:r>
        <w:rPr>
          <w:rFonts w:ascii="Tahoma" w:hAnsi="Tahoma" w:cs="Tahoma"/>
          <w:sz w:val="24"/>
          <w:szCs w:val="24"/>
        </w:rPr>
        <w:t>παρακλινικών</w:t>
      </w:r>
      <w:proofErr w:type="spellEnd"/>
      <w:r>
        <w:rPr>
          <w:rFonts w:ascii="Tahoma" w:hAnsi="Tahoma" w:cs="Tahoma"/>
          <w:sz w:val="24"/>
          <w:szCs w:val="24"/>
        </w:rPr>
        <w:t xml:space="preserve"> εξετάσεων ανά ΑΜΚΑ </w:t>
      </w:r>
      <w:r>
        <w:rPr>
          <w:rFonts w:ascii="Tahoma" w:hAnsi="Tahoma" w:cs="Tahoma"/>
          <w:sz w:val="24"/>
          <w:szCs w:val="24"/>
        </w:rPr>
        <w:lastRenderedPageBreak/>
        <w:t>ασφαλισμένου και ανά ιατρική ειδικότητα</w:t>
      </w:r>
      <w:r w:rsidR="00146BD7">
        <w:rPr>
          <w:rFonts w:ascii="Tahoma" w:hAnsi="Tahoma" w:cs="Tahoma"/>
          <w:sz w:val="24"/>
          <w:szCs w:val="24"/>
        </w:rPr>
        <w:t>,</w:t>
      </w:r>
      <w:r>
        <w:rPr>
          <w:rFonts w:ascii="Tahoma" w:hAnsi="Tahoma" w:cs="Tahoma"/>
          <w:sz w:val="24"/>
          <w:szCs w:val="24"/>
        </w:rPr>
        <w:t xml:space="preserve"> έτσι όπως αποτυπώθηκαν και με την </w:t>
      </w:r>
      <w:r w:rsidR="00C307BF">
        <w:rPr>
          <w:rFonts w:ascii="Tahoma" w:hAnsi="Tahoma" w:cs="Tahoma"/>
          <w:sz w:val="24"/>
          <w:szCs w:val="24"/>
        </w:rPr>
        <w:t xml:space="preserve">Υ9/οικ.70521/14-08-2014 (ΦΕΚ 2243/Β’/18-08-2014) </w:t>
      </w:r>
      <w:r>
        <w:rPr>
          <w:rFonts w:ascii="Tahoma" w:hAnsi="Tahoma" w:cs="Tahoma"/>
          <w:sz w:val="24"/>
          <w:szCs w:val="24"/>
        </w:rPr>
        <w:t>Υπουργική Απόφαση.</w:t>
      </w:r>
      <w:r w:rsidR="00146BD7">
        <w:rPr>
          <w:rFonts w:ascii="Tahoma" w:hAnsi="Tahoma" w:cs="Tahoma"/>
          <w:sz w:val="24"/>
          <w:szCs w:val="24"/>
        </w:rPr>
        <w:t xml:space="preserve"> Αυτή τη στιγμή είναι ενσωματωμένες στο σύστημα της ηλεκτρονικής συνταγογράφησης οι κατευθυντήριες οδηγίες, ενώ τα αριθμητικά όρια έχουν τεθεί σε πλήρη εφαρμογή για περισσότερες από τις μισές ιατρικές ειδικότητες</w:t>
      </w:r>
      <w:r w:rsidR="006A0C39">
        <w:rPr>
          <w:rFonts w:ascii="Tahoma" w:hAnsi="Tahoma" w:cs="Tahoma"/>
          <w:sz w:val="24"/>
          <w:szCs w:val="24"/>
        </w:rPr>
        <w:t xml:space="preserve"> (16 μέχρι στιγμής)</w:t>
      </w:r>
      <w:r w:rsidR="00146BD7">
        <w:rPr>
          <w:rFonts w:ascii="Tahoma" w:hAnsi="Tahoma" w:cs="Tahoma"/>
          <w:sz w:val="24"/>
          <w:szCs w:val="24"/>
        </w:rPr>
        <w:t xml:space="preserve"> και πολύ σύντομα αναμένεται η ολοκλήρωση για το σύνολο αυτών.</w:t>
      </w:r>
    </w:p>
    <w:p w:rsidR="00146BD7" w:rsidRDefault="00146BD7" w:rsidP="00146BD7">
      <w:pPr>
        <w:jc w:val="both"/>
        <w:rPr>
          <w:rFonts w:ascii="Tahoma" w:hAnsi="Tahoma" w:cs="Tahoma"/>
          <w:sz w:val="24"/>
          <w:szCs w:val="24"/>
        </w:rPr>
      </w:pPr>
      <w:r>
        <w:rPr>
          <w:rFonts w:ascii="Tahoma" w:hAnsi="Tahoma" w:cs="Tahoma"/>
          <w:sz w:val="24"/>
          <w:szCs w:val="24"/>
        </w:rPr>
        <w:t xml:space="preserve">Β) </w:t>
      </w:r>
      <w:r w:rsidR="006A0C39">
        <w:rPr>
          <w:rFonts w:ascii="Tahoma" w:hAnsi="Tahoma" w:cs="Tahoma"/>
          <w:sz w:val="24"/>
          <w:szCs w:val="24"/>
        </w:rPr>
        <w:t>Μί</w:t>
      </w:r>
      <w:r>
        <w:rPr>
          <w:rFonts w:ascii="Tahoma" w:hAnsi="Tahoma" w:cs="Tahoma"/>
          <w:sz w:val="24"/>
          <w:szCs w:val="24"/>
        </w:rPr>
        <w:t>α αναλυτική πρόταση ανακοστολόγησης που αφορά σε 694 εξετάσεις, η οποία</w:t>
      </w:r>
      <w:r w:rsidR="006A0C39">
        <w:rPr>
          <w:rFonts w:ascii="Tahoma" w:hAnsi="Tahoma" w:cs="Tahoma"/>
          <w:sz w:val="24"/>
          <w:szCs w:val="24"/>
        </w:rPr>
        <w:t xml:space="preserve"> εφόσον γίνει αποδεκτή θα φέρει</w:t>
      </w:r>
      <w:r>
        <w:rPr>
          <w:rFonts w:ascii="Tahoma" w:hAnsi="Tahoma" w:cs="Tahoma"/>
          <w:sz w:val="24"/>
          <w:szCs w:val="24"/>
        </w:rPr>
        <w:t xml:space="preserve"> μία μείωση κατά 40.000.000 με 50.000.000 ευρώ σε σχέση με την αιτούμενη δαπάνη (</w:t>
      </w:r>
      <w:r w:rsidR="006A0C39">
        <w:rPr>
          <w:rFonts w:ascii="Tahoma" w:hAnsi="Tahoma" w:cs="Tahoma"/>
          <w:sz w:val="24"/>
          <w:szCs w:val="24"/>
        </w:rPr>
        <w:t xml:space="preserve">με βάση τα στοιχεία των υποβολών των παρόχων) </w:t>
      </w:r>
      <w:r>
        <w:rPr>
          <w:rFonts w:ascii="Tahoma" w:hAnsi="Tahoma" w:cs="Tahoma"/>
          <w:sz w:val="24"/>
          <w:szCs w:val="24"/>
        </w:rPr>
        <w:t xml:space="preserve">έτους 2014. </w:t>
      </w:r>
    </w:p>
    <w:p w:rsidR="000A1714" w:rsidRDefault="006A0C39" w:rsidP="00146BD7">
      <w:pPr>
        <w:jc w:val="both"/>
        <w:rPr>
          <w:rFonts w:ascii="Tahoma" w:hAnsi="Tahoma" w:cs="Tahoma"/>
          <w:sz w:val="24"/>
          <w:szCs w:val="24"/>
        </w:rPr>
      </w:pPr>
      <w:r>
        <w:rPr>
          <w:rFonts w:ascii="Tahoma" w:hAnsi="Tahoma" w:cs="Tahoma"/>
          <w:sz w:val="24"/>
          <w:szCs w:val="24"/>
        </w:rPr>
        <w:t xml:space="preserve">Γ) Η </w:t>
      </w:r>
      <w:r w:rsidR="000A1714">
        <w:rPr>
          <w:rFonts w:ascii="Tahoma" w:hAnsi="Tahoma" w:cs="Tahoma"/>
          <w:sz w:val="24"/>
          <w:szCs w:val="24"/>
        </w:rPr>
        <w:t xml:space="preserve">κατάργηση της αναγκαστικής επιστροφής </w:t>
      </w:r>
      <w:r w:rsidR="000A1714" w:rsidRPr="000A1714">
        <w:rPr>
          <w:rFonts w:ascii="Tahoma" w:hAnsi="Tahoma" w:cs="Tahoma"/>
          <w:sz w:val="24"/>
          <w:szCs w:val="24"/>
        </w:rPr>
        <w:t>(</w:t>
      </w:r>
      <w:proofErr w:type="spellStart"/>
      <w:r w:rsidR="000A1714">
        <w:rPr>
          <w:rFonts w:ascii="Tahoma" w:hAnsi="Tahoma" w:cs="Tahoma"/>
          <w:sz w:val="24"/>
          <w:szCs w:val="24"/>
          <w:lang w:val="en-US"/>
        </w:rPr>
        <w:t>clawback</w:t>
      </w:r>
      <w:proofErr w:type="spellEnd"/>
      <w:r w:rsidR="000A1714" w:rsidRPr="000A1714">
        <w:rPr>
          <w:rFonts w:ascii="Tahoma" w:hAnsi="Tahoma" w:cs="Tahoma"/>
          <w:sz w:val="24"/>
          <w:szCs w:val="24"/>
        </w:rPr>
        <w:t>)</w:t>
      </w:r>
      <w:r>
        <w:rPr>
          <w:rFonts w:ascii="Tahoma" w:hAnsi="Tahoma" w:cs="Tahoma"/>
          <w:sz w:val="24"/>
          <w:szCs w:val="24"/>
        </w:rPr>
        <w:t xml:space="preserve"> και η όποια </w:t>
      </w:r>
      <w:r w:rsidR="000A1714">
        <w:rPr>
          <w:rFonts w:ascii="Tahoma" w:hAnsi="Tahoma" w:cs="Tahoma"/>
          <w:sz w:val="24"/>
          <w:szCs w:val="24"/>
        </w:rPr>
        <w:t xml:space="preserve">εναπομείνασα υπέρβαση του προϋπολογισμού, με βάση τα στοιχεία του 2014, θα καλυφθεί από ένα κλιμακωτό και δίκαια κατανεμημένο, ανάλογα με την αιτούμενη δαπάνη του καθενός, σύστημα εκπτώσεων </w:t>
      </w:r>
      <w:r w:rsidR="000A1714" w:rsidRPr="000A1714">
        <w:rPr>
          <w:rFonts w:ascii="Tahoma" w:hAnsi="Tahoma" w:cs="Tahoma"/>
          <w:sz w:val="24"/>
          <w:szCs w:val="24"/>
        </w:rPr>
        <w:t>(</w:t>
      </w:r>
      <w:r w:rsidR="000A1714">
        <w:rPr>
          <w:rFonts w:ascii="Tahoma" w:hAnsi="Tahoma" w:cs="Tahoma"/>
          <w:sz w:val="24"/>
          <w:szCs w:val="24"/>
          <w:lang w:val="en-US"/>
        </w:rPr>
        <w:t>rebate</w:t>
      </w:r>
      <w:r w:rsidR="000A1714">
        <w:rPr>
          <w:rFonts w:ascii="Tahoma" w:hAnsi="Tahoma" w:cs="Tahoma"/>
          <w:sz w:val="24"/>
          <w:szCs w:val="24"/>
        </w:rPr>
        <w:t>), το οποίο θα επιβαρύνει ελάχιστα το σύνολο των παρόχων.</w:t>
      </w:r>
    </w:p>
    <w:p w:rsidR="006E1A8F" w:rsidRDefault="000A1714" w:rsidP="00B56EBD">
      <w:pPr>
        <w:jc w:val="both"/>
        <w:rPr>
          <w:rFonts w:ascii="Tahoma" w:hAnsi="Tahoma" w:cs="Tahoma"/>
          <w:sz w:val="24"/>
          <w:szCs w:val="24"/>
        </w:rPr>
      </w:pPr>
      <w:r>
        <w:rPr>
          <w:rFonts w:ascii="Tahoma" w:hAnsi="Tahoma" w:cs="Tahoma"/>
          <w:sz w:val="24"/>
          <w:szCs w:val="24"/>
        </w:rPr>
        <w:tab/>
        <w:t xml:space="preserve">Ειδικότερα </w:t>
      </w:r>
      <w:r w:rsidR="006A0C39">
        <w:rPr>
          <w:rFonts w:ascii="Tahoma" w:hAnsi="Tahoma" w:cs="Tahoma"/>
          <w:sz w:val="24"/>
          <w:szCs w:val="24"/>
        </w:rPr>
        <w:t>τ</w:t>
      </w:r>
      <w:r>
        <w:rPr>
          <w:rFonts w:ascii="Tahoma" w:hAnsi="Tahoma" w:cs="Tahoma"/>
          <w:sz w:val="24"/>
          <w:szCs w:val="24"/>
        </w:rPr>
        <w:t>ην πρόταση ανακοστολόγησης ο</w:t>
      </w:r>
      <w:r w:rsidR="005524F4" w:rsidRPr="001F285C">
        <w:rPr>
          <w:rFonts w:ascii="Tahoma" w:hAnsi="Tahoma" w:cs="Tahoma"/>
          <w:sz w:val="24"/>
          <w:szCs w:val="24"/>
        </w:rPr>
        <w:t xml:space="preserve"> ΕΟΠΥΥ </w:t>
      </w:r>
      <w:r w:rsidR="006A0C39">
        <w:rPr>
          <w:rFonts w:ascii="Tahoma" w:hAnsi="Tahoma" w:cs="Tahoma"/>
          <w:sz w:val="24"/>
          <w:szCs w:val="24"/>
        </w:rPr>
        <w:t xml:space="preserve">την έθεσε σε δημόσια διαβούλευση από τις </w:t>
      </w:r>
      <w:r w:rsidR="00714D74">
        <w:rPr>
          <w:rFonts w:ascii="Tahoma" w:hAnsi="Tahoma" w:cs="Tahoma"/>
          <w:sz w:val="24"/>
          <w:szCs w:val="24"/>
        </w:rPr>
        <w:t>07/04/2015</w:t>
      </w:r>
      <w:r w:rsidR="006A0C39">
        <w:rPr>
          <w:rFonts w:ascii="Tahoma" w:hAnsi="Tahoma" w:cs="Tahoma"/>
          <w:sz w:val="24"/>
          <w:szCs w:val="24"/>
        </w:rPr>
        <w:t xml:space="preserve"> με τον </w:t>
      </w:r>
      <w:r w:rsidR="005524F4" w:rsidRPr="001F285C">
        <w:rPr>
          <w:rFonts w:ascii="Tahoma" w:hAnsi="Tahoma" w:cs="Tahoma"/>
          <w:sz w:val="24"/>
          <w:szCs w:val="24"/>
        </w:rPr>
        <w:t xml:space="preserve">Πανελλήνιο Ιατρικό Σύλλογο </w:t>
      </w:r>
      <w:r w:rsidR="00B56EBD">
        <w:rPr>
          <w:rFonts w:ascii="Tahoma" w:hAnsi="Tahoma" w:cs="Tahoma"/>
          <w:sz w:val="24"/>
          <w:szCs w:val="24"/>
        </w:rPr>
        <w:t>(Π</w:t>
      </w:r>
      <w:r w:rsidR="00714D74">
        <w:rPr>
          <w:rFonts w:ascii="Tahoma" w:hAnsi="Tahoma" w:cs="Tahoma"/>
          <w:sz w:val="24"/>
          <w:szCs w:val="24"/>
        </w:rPr>
        <w:t>.</w:t>
      </w:r>
      <w:r w:rsidR="00B56EBD">
        <w:rPr>
          <w:rFonts w:ascii="Tahoma" w:hAnsi="Tahoma" w:cs="Tahoma"/>
          <w:sz w:val="24"/>
          <w:szCs w:val="24"/>
        </w:rPr>
        <w:t>Ι</w:t>
      </w:r>
      <w:r w:rsidR="00714D74">
        <w:rPr>
          <w:rFonts w:ascii="Tahoma" w:hAnsi="Tahoma" w:cs="Tahoma"/>
          <w:sz w:val="24"/>
          <w:szCs w:val="24"/>
        </w:rPr>
        <w:t>.</w:t>
      </w:r>
      <w:r w:rsidR="00B56EBD">
        <w:rPr>
          <w:rFonts w:ascii="Tahoma" w:hAnsi="Tahoma" w:cs="Tahoma"/>
          <w:sz w:val="24"/>
          <w:szCs w:val="24"/>
        </w:rPr>
        <w:t>Σ</w:t>
      </w:r>
      <w:r w:rsidR="00714D74">
        <w:rPr>
          <w:rFonts w:ascii="Tahoma" w:hAnsi="Tahoma" w:cs="Tahoma"/>
          <w:sz w:val="24"/>
          <w:szCs w:val="24"/>
        </w:rPr>
        <w:t>.</w:t>
      </w:r>
      <w:r w:rsidR="00B56EBD">
        <w:rPr>
          <w:rFonts w:ascii="Tahoma" w:hAnsi="Tahoma" w:cs="Tahoma"/>
          <w:sz w:val="24"/>
          <w:szCs w:val="24"/>
        </w:rPr>
        <w:t>)</w:t>
      </w:r>
      <w:r w:rsidR="006A0C39">
        <w:rPr>
          <w:rFonts w:ascii="Tahoma" w:hAnsi="Tahoma" w:cs="Tahoma"/>
          <w:sz w:val="24"/>
          <w:szCs w:val="24"/>
        </w:rPr>
        <w:t xml:space="preserve"> και όλες τις ενώσεις και τους συλλόγους των εργαστηριακών γιατρών. Η πρόταση αυτή τεκμηριώνεται </w:t>
      </w:r>
      <w:r w:rsidR="005524F4" w:rsidRPr="001F285C">
        <w:rPr>
          <w:rFonts w:ascii="Tahoma" w:hAnsi="Tahoma" w:cs="Tahoma"/>
          <w:sz w:val="24"/>
          <w:szCs w:val="24"/>
        </w:rPr>
        <w:t xml:space="preserve">από οικονομικά στοιχεία, </w:t>
      </w:r>
      <w:r w:rsidR="006A0C39">
        <w:rPr>
          <w:rFonts w:ascii="Tahoma" w:hAnsi="Tahoma" w:cs="Tahoma"/>
          <w:sz w:val="24"/>
          <w:szCs w:val="24"/>
        </w:rPr>
        <w:t xml:space="preserve">συγκριτικές </w:t>
      </w:r>
      <w:r w:rsidR="005524F4" w:rsidRPr="001F285C">
        <w:rPr>
          <w:rFonts w:ascii="Tahoma" w:hAnsi="Tahoma" w:cs="Tahoma"/>
          <w:sz w:val="24"/>
          <w:szCs w:val="24"/>
        </w:rPr>
        <w:t xml:space="preserve">μελέτες </w:t>
      </w:r>
      <w:r w:rsidR="006A0C39">
        <w:rPr>
          <w:rFonts w:ascii="Tahoma" w:hAnsi="Tahoma" w:cs="Tahoma"/>
          <w:sz w:val="24"/>
          <w:szCs w:val="24"/>
        </w:rPr>
        <w:t xml:space="preserve">αλλά </w:t>
      </w:r>
      <w:r w:rsidR="005524F4" w:rsidRPr="001F285C">
        <w:rPr>
          <w:rFonts w:ascii="Tahoma" w:hAnsi="Tahoma" w:cs="Tahoma"/>
          <w:sz w:val="24"/>
          <w:szCs w:val="24"/>
        </w:rPr>
        <w:t xml:space="preserve">και σχετικούς πίνακες παραπομπής. </w:t>
      </w:r>
    </w:p>
    <w:p w:rsidR="00CB2919" w:rsidRDefault="006E1A8F" w:rsidP="00CB2919">
      <w:pPr>
        <w:ind w:firstLine="720"/>
        <w:jc w:val="both"/>
        <w:rPr>
          <w:rFonts w:ascii="Tahoma" w:hAnsi="Tahoma" w:cs="Tahoma"/>
          <w:sz w:val="24"/>
          <w:szCs w:val="24"/>
        </w:rPr>
      </w:pPr>
      <w:r>
        <w:rPr>
          <w:rFonts w:ascii="Tahoma" w:hAnsi="Tahoma" w:cs="Tahoma"/>
          <w:sz w:val="24"/>
          <w:szCs w:val="24"/>
        </w:rPr>
        <w:t xml:space="preserve">Από τις 694 συνολικά εξετάσεις που αποζημιώνει ο ΕΟΠΥΥ οι 54 είναι υπεύθυνες για το 75% της συνολικής δαπάνης. Για τις εξετάσεις αυτές ο ΕΟΠΥΥ προτείνει μία ισορροπημένη μείωση της αποζημίωσης που στηρίζεται σε πολλές παραμέτρους (τιμές αγοράς, στοιχεία κόστους, διεθνείς τιμές, ελληνικές και ξένες μελέτες, στοιχεία κόστους από την λειτουργία των εργαστηρίων στις πρώην μονάδες του ΕΟΠΥΥ </w:t>
      </w:r>
      <w:proofErr w:type="spellStart"/>
      <w:r>
        <w:rPr>
          <w:rFonts w:ascii="Tahoma" w:hAnsi="Tahoma" w:cs="Tahoma"/>
          <w:sz w:val="24"/>
          <w:szCs w:val="24"/>
        </w:rPr>
        <w:t>κ.λ.π</w:t>
      </w:r>
      <w:proofErr w:type="spellEnd"/>
      <w:r>
        <w:rPr>
          <w:rFonts w:ascii="Tahoma" w:hAnsi="Tahoma" w:cs="Tahoma"/>
          <w:sz w:val="24"/>
          <w:szCs w:val="24"/>
        </w:rPr>
        <w:t>.)</w:t>
      </w:r>
      <w:r w:rsidR="00CB2919">
        <w:rPr>
          <w:rFonts w:ascii="Tahoma" w:hAnsi="Tahoma" w:cs="Tahoma"/>
          <w:sz w:val="24"/>
          <w:szCs w:val="24"/>
        </w:rPr>
        <w:t>. Για όλες τις υπόλοιπες εξετάσεις προτείνεται μία πολύ μικρή μείωση της τάξεως του 5%.</w:t>
      </w:r>
    </w:p>
    <w:p w:rsidR="00CB2919" w:rsidRDefault="005524F4" w:rsidP="00CB2919">
      <w:pPr>
        <w:ind w:firstLine="720"/>
        <w:jc w:val="both"/>
        <w:rPr>
          <w:rFonts w:ascii="Tahoma" w:hAnsi="Tahoma" w:cs="Tahoma"/>
          <w:sz w:val="24"/>
          <w:szCs w:val="24"/>
        </w:rPr>
      </w:pPr>
      <w:r w:rsidRPr="001F285C">
        <w:rPr>
          <w:rFonts w:ascii="Tahoma" w:hAnsi="Tahoma" w:cs="Tahoma"/>
          <w:sz w:val="24"/>
          <w:szCs w:val="24"/>
        </w:rPr>
        <w:t xml:space="preserve">Δυστυχώς </w:t>
      </w:r>
      <w:r w:rsidR="00B56EBD">
        <w:rPr>
          <w:rFonts w:ascii="Tahoma" w:hAnsi="Tahoma" w:cs="Tahoma"/>
          <w:sz w:val="24"/>
          <w:szCs w:val="24"/>
        </w:rPr>
        <w:t>τόσο από τον Π</w:t>
      </w:r>
      <w:r w:rsidR="00714D74">
        <w:rPr>
          <w:rFonts w:ascii="Tahoma" w:hAnsi="Tahoma" w:cs="Tahoma"/>
          <w:sz w:val="24"/>
          <w:szCs w:val="24"/>
        </w:rPr>
        <w:t>.</w:t>
      </w:r>
      <w:r w:rsidR="00B56EBD">
        <w:rPr>
          <w:rFonts w:ascii="Tahoma" w:hAnsi="Tahoma" w:cs="Tahoma"/>
          <w:sz w:val="24"/>
          <w:szCs w:val="24"/>
        </w:rPr>
        <w:t>Ι</w:t>
      </w:r>
      <w:r w:rsidR="00714D74">
        <w:rPr>
          <w:rFonts w:ascii="Tahoma" w:hAnsi="Tahoma" w:cs="Tahoma"/>
          <w:sz w:val="24"/>
          <w:szCs w:val="24"/>
        </w:rPr>
        <w:t>.</w:t>
      </w:r>
      <w:r w:rsidR="00B56EBD">
        <w:rPr>
          <w:rFonts w:ascii="Tahoma" w:hAnsi="Tahoma" w:cs="Tahoma"/>
          <w:sz w:val="24"/>
          <w:szCs w:val="24"/>
        </w:rPr>
        <w:t xml:space="preserve">Σόσο και από τους </w:t>
      </w:r>
      <w:r w:rsidRPr="001F285C">
        <w:rPr>
          <w:rFonts w:ascii="Tahoma" w:hAnsi="Tahoma" w:cs="Tahoma"/>
          <w:sz w:val="24"/>
          <w:szCs w:val="24"/>
        </w:rPr>
        <w:t xml:space="preserve">συλλόγους </w:t>
      </w:r>
      <w:r w:rsidR="00B56EBD">
        <w:rPr>
          <w:rFonts w:ascii="Tahoma" w:hAnsi="Tahoma" w:cs="Tahoma"/>
          <w:sz w:val="24"/>
          <w:szCs w:val="24"/>
        </w:rPr>
        <w:t xml:space="preserve">των εργαστηριακών γιατρών και διαγνωστικών εργαστηρίων </w:t>
      </w:r>
      <w:r w:rsidRPr="001F285C">
        <w:rPr>
          <w:rFonts w:ascii="Tahoma" w:hAnsi="Tahoma" w:cs="Tahoma"/>
          <w:sz w:val="24"/>
          <w:szCs w:val="24"/>
        </w:rPr>
        <w:t xml:space="preserve">λάβαμε </w:t>
      </w:r>
      <w:r w:rsidR="00212BCE">
        <w:rPr>
          <w:rFonts w:ascii="Tahoma" w:hAnsi="Tahoma" w:cs="Tahoma"/>
          <w:sz w:val="24"/>
          <w:szCs w:val="24"/>
        </w:rPr>
        <w:t xml:space="preserve">μέχρι τώρα </w:t>
      </w:r>
      <w:r w:rsidR="009A3435" w:rsidRPr="001F285C">
        <w:rPr>
          <w:rFonts w:ascii="Tahoma" w:hAnsi="Tahoma" w:cs="Tahoma"/>
          <w:sz w:val="24"/>
          <w:szCs w:val="24"/>
        </w:rPr>
        <w:t>αρνητικ</w:t>
      </w:r>
      <w:r w:rsidR="00212BCE">
        <w:rPr>
          <w:rFonts w:ascii="Tahoma" w:hAnsi="Tahoma" w:cs="Tahoma"/>
          <w:sz w:val="24"/>
          <w:szCs w:val="24"/>
        </w:rPr>
        <w:t xml:space="preserve">έςαπαντήσειςοι </w:t>
      </w:r>
      <w:r w:rsidR="009A3435" w:rsidRPr="001F285C">
        <w:rPr>
          <w:rFonts w:ascii="Tahoma" w:hAnsi="Tahoma" w:cs="Tahoma"/>
          <w:sz w:val="24"/>
          <w:szCs w:val="24"/>
        </w:rPr>
        <w:t>οποί</w:t>
      </w:r>
      <w:r w:rsidR="00212BCE">
        <w:rPr>
          <w:rFonts w:ascii="Tahoma" w:hAnsi="Tahoma" w:cs="Tahoma"/>
          <w:sz w:val="24"/>
          <w:szCs w:val="24"/>
        </w:rPr>
        <w:t>εςαπορρίπτουν</w:t>
      </w:r>
      <w:r w:rsidRPr="001F285C">
        <w:rPr>
          <w:rFonts w:ascii="Tahoma" w:hAnsi="Tahoma" w:cs="Tahoma"/>
          <w:sz w:val="24"/>
          <w:szCs w:val="24"/>
        </w:rPr>
        <w:t xml:space="preserve"> στο </w:t>
      </w:r>
      <w:r w:rsidR="009A3435" w:rsidRPr="001F285C">
        <w:rPr>
          <w:rFonts w:ascii="Tahoma" w:hAnsi="Tahoma" w:cs="Tahoma"/>
          <w:sz w:val="24"/>
          <w:szCs w:val="24"/>
        </w:rPr>
        <w:t>σύνολό</w:t>
      </w:r>
      <w:r w:rsidR="00212BCE">
        <w:rPr>
          <w:rFonts w:ascii="Tahoma" w:hAnsi="Tahoma" w:cs="Tahoma"/>
          <w:sz w:val="24"/>
          <w:szCs w:val="24"/>
        </w:rPr>
        <w:t>τους</w:t>
      </w:r>
      <w:r w:rsidRPr="001F285C">
        <w:rPr>
          <w:rFonts w:ascii="Tahoma" w:hAnsi="Tahoma" w:cs="Tahoma"/>
          <w:sz w:val="24"/>
          <w:szCs w:val="24"/>
        </w:rPr>
        <w:t xml:space="preserve"> την πρόταση</w:t>
      </w:r>
      <w:r w:rsidR="009A3435" w:rsidRPr="001F285C">
        <w:rPr>
          <w:rFonts w:ascii="Tahoma" w:hAnsi="Tahoma" w:cs="Tahoma"/>
          <w:sz w:val="24"/>
          <w:szCs w:val="24"/>
        </w:rPr>
        <w:t>,</w:t>
      </w:r>
      <w:r w:rsidRPr="001F285C">
        <w:rPr>
          <w:rFonts w:ascii="Tahoma" w:hAnsi="Tahoma" w:cs="Tahoma"/>
          <w:sz w:val="24"/>
          <w:szCs w:val="24"/>
        </w:rPr>
        <w:t xml:space="preserve"> χωρίς να γίνεται αποδεκτή έστω και μία από τις </w:t>
      </w:r>
      <w:r w:rsidR="00B56EBD">
        <w:rPr>
          <w:rFonts w:ascii="Tahoma" w:hAnsi="Tahoma" w:cs="Tahoma"/>
          <w:sz w:val="24"/>
          <w:szCs w:val="24"/>
        </w:rPr>
        <w:t xml:space="preserve">694 </w:t>
      </w:r>
      <w:r w:rsidR="009A3435" w:rsidRPr="001F285C">
        <w:rPr>
          <w:rFonts w:ascii="Tahoma" w:hAnsi="Tahoma" w:cs="Tahoma"/>
          <w:sz w:val="24"/>
          <w:szCs w:val="24"/>
        </w:rPr>
        <w:t xml:space="preserve">ανακοστολογήσεις που προτείναμε. </w:t>
      </w:r>
    </w:p>
    <w:p w:rsidR="005524F4" w:rsidRPr="001F285C" w:rsidRDefault="00CB2919" w:rsidP="00CB2919">
      <w:pPr>
        <w:ind w:firstLine="360"/>
        <w:jc w:val="both"/>
        <w:rPr>
          <w:rFonts w:ascii="Tahoma" w:hAnsi="Tahoma" w:cs="Tahoma"/>
          <w:sz w:val="24"/>
          <w:szCs w:val="24"/>
        </w:rPr>
      </w:pPr>
      <w:r>
        <w:rPr>
          <w:rFonts w:ascii="Tahoma" w:hAnsi="Tahoma" w:cs="Tahoma"/>
          <w:sz w:val="24"/>
          <w:szCs w:val="24"/>
        </w:rPr>
        <w:t xml:space="preserve">Για την καλύτερη κατανόηση της πρότασης μας να σημειώσουμε ότι: </w:t>
      </w:r>
    </w:p>
    <w:p w:rsidR="0088145D" w:rsidRPr="00F02BB8" w:rsidRDefault="00CB2919" w:rsidP="004F4BE0">
      <w:pPr>
        <w:pStyle w:val="a3"/>
        <w:numPr>
          <w:ilvl w:val="0"/>
          <w:numId w:val="1"/>
        </w:numPr>
        <w:jc w:val="both"/>
        <w:rPr>
          <w:rFonts w:ascii="Tahoma" w:hAnsi="Tahoma" w:cs="Tahoma"/>
          <w:sz w:val="24"/>
          <w:szCs w:val="24"/>
        </w:rPr>
      </w:pPr>
      <w:r>
        <w:rPr>
          <w:rFonts w:ascii="Tahoma" w:hAnsi="Tahoma" w:cs="Tahoma"/>
          <w:sz w:val="24"/>
          <w:szCs w:val="24"/>
        </w:rPr>
        <w:t>Τ</w:t>
      </w:r>
      <w:r w:rsidR="0088145D" w:rsidRPr="001F285C">
        <w:rPr>
          <w:rFonts w:ascii="Tahoma" w:hAnsi="Tahoma" w:cs="Tahoma"/>
          <w:sz w:val="24"/>
          <w:szCs w:val="24"/>
        </w:rPr>
        <w:t xml:space="preserve">α εργαστήρια </w:t>
      </w:r>
      <w:r w:rsidR="00B56EBD">
        <w:rPr>
          <w:rFonts w:ascii="Tahoma" w:hAnsi="Tahoma" w:cs="Tahoma"/>
          <w:sz w:val="24"/>
          <w:szCs w:val="24"/>
        </w:rPr>
        <w:t>διενέργειας εξετάσεων εκ μέρους τρίτων (</w:t>
      </w:r>
      <w:r w:rsidR="0045511B">
        <w:rPr>
          <w:rFonts w:ascii="Tahoma" w:hAnsi="Tahoma" w:cs="Tahoma"/>
          <w:sz w:val="24"/>
          <w:szCs w:val="24"/>
        </w:rPr>
        <w:t>φασόν)</w:t>
      </w:r>
      <w:r w:rsidR="0088145D" w:rsidRPr="001F285C">
        <w:rPr>
          <w:rFonts w:ascii="Tahoma" w:hAnsi="Tahoma" w:cs="Tahoma"/>
          <w:sz w:val="24"/>
          <w:szCs w:val="24"/>
        </w:rPr>
        <w:t xml:space="preserve"> τιμολογούν </w:t>
      </w:r>
      <w:r w:rsidR="00C55517">
        <w:rPr>
          <w:rFonts w:ascii="Tahoma" w:hAnsi="Tahoma" w:cs="Tahoma"/>
          <w:sz w:val="24"/>
          <w:szCs w:val="24"/>
        </w:rPr>
        <w:t xml:space="preserve">την </w:t>
      </w:r>
      <w:r w:rsidR="00C55517" w:rsidRPr="00C55517">
        <w:rPr>
          <w:rFonts w:ascii="Tahoma" w:hAnsi="Tahoma" w:cs="Tahoma"/>
          <w:i/>
          <w:sz w:val="24"/>
          <w:szCs w:val="24"/>
        </w:rPr>
        <w:t>ελεύθερη θυροξίνη</w:t>
      </w:r>
      <w:r w:rsidR="00C55517">
        <w:rPr>
          <w:rFonts w:ascii="Tahoma" w:hAnsi="Tahoma" w:cs="Tahoma"/>
          <w:sz w:val="24"/>
          <w:szCs w:val="24"/>
        </w:rPr>
        <w:t xml:space="preserve"> (</w:t>
      </w:r>
      <w:r w:rsidR="00C55517">
        <w:rPr>
          <w:rFonts w:ascii="Tahoma" w:hAnsi="Tahoma" w:cs="Tahoma"/>
          <w:sz w:val="24"/>
          <w:szCs w:val="24"/>
          <w:lang w:val="en-US"/>
        </w:rPr>
        <w:t>FT</w:t>
      </w:r>
      <w:r w:rsidR="00C55517" w:rsidRPr="00C55517">
        <w:rPr>
          <w:rFonts w:ascii="Tahoma" w:hAnsi="Tahoma" w:cs="Tahoma"/>
          <w:sz w:val="24"/>
          <w:szCs w:val="24"/>
        </w:rPr>
        <w:t xml:space="preserve">4) </w:t>
      </w:r>
      <w:r w:rsidR="00C55517">
        <w:rPr>
          <w:rFonts w:ascii="Tahoma" w:hAnsi="Tahoma" w:cs="Tahoma"/>
          <w:sz w:val="24"/>
          <w:szCs w:val="24"/>
        </w:rPr>
        <w:t xml:space="preserve">με 2,50 ευρώ κατά μέσο όρο ενώ η τιμή αποζημίωσης </w:t>
      </w:r>
      <w:r w:rsidR="006A0C39">
        <w:rPr>
          <w:rFonts w:ascii="Tahoma" w:hAnsi="Tahoma" w:cs="Tahoma"/>
          <w:sz w:val="24"/>
          <w:szCs w:val="24"/>
        </w:rPr>
        <w:t xml:space="preserve">ΕΟΠΥΥ </w:t>
      </w:r>
      <w:r w:rsidR="00C55517">
        <w:rPr>
          <w:rFonts w:ascii="Tahoma" w:hAnsi="Tahoma" w:cs="Tahoma"/>
          <w:sz w:val="24"/>
          <w:szCs w:val="24"/>
        </w:rPr>
        <w:t>είναι 12 ευρώ, δηλαδή κατά 4,8 φορές υψηλότερα</w:t>
      </w:r>
      <w:r>
        <w:rPr>
          <w:rFonts w:ascii="Tahoma" w:hAnsi="Tahoma" w:cs="Tahoma"/>
          <w:sz w:val="24"/>
          <w:szCs w:val="24"/>
        </w:rPr>
        <w:t xml:space="preserve">. Οι </w:t>
      </w:r>
      <w:proofErr w:type="spellStart"/>
      <w:r w:rsidR="00C55517" w:rsidRPr="00F02BB8">
        <w:rPr>
          <w:rFonts w:ascii="Tahoma" w:hAnsi="Tahoma" w:cs="Tahoma"/>
          <w:i/>
          <w:sz w:val="24"/>
          <w:szCs w:val="24"/>
        </w:rPr>
        <w:t>τρανσαμινάσες</w:t>
      </w:r>
      <w:proofErr w:type="spellEnd"/>
      <w:r w:rsidR="00C55517" w:rsidRPr="00F02BB8">
        <w:rPr>
          <w:rFonts w:ascii="Tahoma" w:hAnsi="Tahoma" w:cs="Tahoma"/>
          <w:i/>
          <w:sz w:val="24"/>
          <w:szCs w:val="24"/>
        </w:rPr>
        <w:t xml:space="preserve"> </w:t>
      </w:r>
      <w:proofErr w:type="spellStart"/>
      <w:r w:rsidR="00C55517" w:rsidRPr="00F02BB8">
        <w:rPr>
          <w:rFonts w:ascii="Tahoma" w:hAnsi="Tahoma" w:cs="Tahoma"/>
          <w:i/>
          <w:sz w:val="24"/>
          <w:szCs w:val="24"/>
        </w:rPr>
        <w:t>αίματος</w:t>
      </w:r>
      <w:r w:rsidR="00C55517">
        <w:rPr>
          <w:rFonts w:ascii="Tahoma" w:hAnsi="Tahoma" w:cs="Tahoma"/>
          <w:sz w:val="24"/>
          <w:szCs w:val="24"/>
        </w:rPr>
        <w:t>με</w:t>
      </w:r>
      <w:proofErr w:type="spellEnd"/>
      <w:r w:rsidR="00C55517">
        <w:rPr>
          <w:rFonts w:ascii="Tahoma" w:hAnsi="Tahoma" w:cs="Tahoma"/>
          <w:sz w:val="24"/>
          <w:szCs w:val="24"/>
        </w:rPr>
        <w:t xml:space="preserve"> 0,70 ευρώ κατά μέσο όρο</w:t>
      </w:r>
      <w:r w:rsidR="00F02BB8">
        <w:rPr>
          <w:rFonts w:ascii="Tahoma" w:hAnsi="Tahoma" w:cs="Tahoma"/>
          <w:sz w:val="24"/>
          <w:szCs w:val="24"/>
        </w:rPr>
        <w:t>,</w:t>
      </w:r>
      <w:r w:rsidR="00C55517">
        <w:rPr>
          <w:rFonts w:ascii="Tahoma" w:hAnsi="Tahoma" w:cs="Tahoma"/>
          <w:sz w:val="24"/>
          <w:szCs w:val="24"/>
        </w:rPr>
        <w:t xml:space="preserve"> ενώ η τιμή αποζημίωσης είναι 3,49 ευρώ</w:t>
      </w:r>
      <w:r w:rsidR="00F02BB8">
        <w:rPr>
          <w:rFonts w:ascii="Tahoma" w:hAnsi="Tahoma" w:cs="Tahoma"/>
          <w:sz w:val="24"/>
          <w:szCs w:val="24"/>
        </w:rPr>
        <w:t>,</w:t>
      </w:r>
      <w:r w:rsidR="00C55517">
        <w:rPr>
          <w:rFonts w:ascii="Tahoma" w:hAnsi="Tahoma" w:cs="Tahoma"/>
          <w:sz w:val="24"/>
          <w:szCs w:val="24"/>
        </w:rPr>
        <w:t xml:space="preserve"> δηλαδή κατά 5 φορές υψηλότερα</w:t>
      </w:r>
      <w:r>
        <w:rPr>
          <w:rFonts w:ascii="Tahoma" w:hAnsi="Tahoma" w:cs="Tahoma"/>
          <w:sz w:val="24"/>
          <w:szCs w:val="24"/>
        </w:rPr>
        <w:t xml:space="preserve">. Παρατηρούμε δηλαδή </w:t>
      </w:r>
      <w:r w:rsidR="0088145D" w:rsidRPr="001F285C">
        <w:rPr>
          <w:rFonts w:ascii="Tahoma" w:hAnsi="Tahoma" w:cs="Tahoma"/>
          <w:sz w:val="24"/>
          <w:szCs w:val="24"/>
        </w:rPr>
        <w:t xml:space="preserve">μία διαφορά τιμής </w:t>
      </w:r>
      <w:r w:rsidR="00F02BB8">
        <w:rPr>
          <w:rFonts w:ascii="Tahoma" w:hAnsi="Tahoma" w:cs="Tahoma"/>
          <w:sz w:val="24"/>
          <w:szCs w:val="24"/>
        </w:rPr>
        <w:t xml:space="preserve">της τάξης του 380% για </w:t>
      </w:r>
      <w:r w:rsidR="00F02BB8" w:rsidRPr="00F02BB8">
        <w:rPr>
          <w:rFonts w:ascii="Tahoma" w:hAnsi="Tahoma" w:cs="Tahoma"/>
          <w:sz w:val="24"/>
          <w:szCs w:val="24"/>
        </w:rPr>
        <w:t>την ελεύθερη θυροξίνη</w:t>
      </w:r>
      <w:r>
        <w:rPr>
          <w:rFonts w:ascii="Tahoma" w:hAnsi="Tahoma" w:cs="Tahoma"/>
          <w:sz w:val="24"/>
          <w:szCs w:val="24"/>
        </w:rPr>
        <w:t xml:space="preserve"> και 400% για τις </w:t>
      </w:r>
      <w:proofErr w:type="spellStart"/>
      <w:r>
        <w:rPr>
          <w:rFonts w:ascii="Tahoma" w:hAnsi="Tahoma" w:cs="Tahoma"/>
          <w:sz w:val="24"/>
          <w:szCs w:val="24"/>
        </w:rPr>
        <w:t>τρανσαμινάσες</w:t>
      </w:r>
      <w:proofErr w:type="spellEnd"/>
      <w:r>
        <w:rPr>
          <w:rFonts w:ascii="Tahoma" w:hAnsi="Tahoma" w:cs="Tahoma"/>
          <w:sz w:val="24"/>
          <w:szCs w:val="24"/>
        </w:rPr>
        <w:t xml:space="preserve">. </w:t>
      </w:r>
    </w:p>
    <w:p w:rsidR="003B0A98" w:rsidRDefault="00CB2919" w:rsidP="001F285C">
      <w:pPr>
        <w:pStyle w:val="a3"/>
        <w:numPr>
          <w:ilvl w:val="0"/>
          <w:numId w:val="1"/>
        </w:numPr>
        <w:jc w:val="both"/>
        <w:rPr>
          <w:rFonts w:ascii="Tahoma" w:hAnsi="Tahoma" w:cs="Tahoma"/>
          <w:sz w:val="24"/>
          <w:szCs w:val="24"/>
        </w:rPr>
      </w:pPr>
      <w:r>
        <w:rPr>
          <w:rFonts w:ascii="Tahoma" w:hAnsi="Tahoma" w:cs="Tahoma"/>
          <w:sz w:val="24"/>
          <w:szCs w:val="24"/>
        </w:rPr>
        <w:t xml:space="preserve">Επίσης </w:t>
      </w:r>
      <w:r w:rsidR="003B0A98" w:rsidRPr="001F285C">
        <w:rPr>
          <w:rFonts w:ascii="Tahoma" w:hAnsi="Tahoma" w:cs="Tahoma"/>
          <w:sz w:val="24"/>
          <w:szCs w:val="24"/>
        </w:rPr>
        <w:t>στη Σουηδία και τη Γερμανία η τιμή</w:t>
      </w:r>
      <w:r w:rsidR="00127D3A">
        <w:rPr>
          <w:rFonts w:ascii="Tahoma" w:hAnsi="Tahoma" w:cs="Tahoma"/>
          <w:sz w:val="24"/>
          <w:szCs w:val="24"/>
        </w:rPr>
        <w:t xml:space="preserve"> αποζημίωσηςτης γενικής εξέτασης αίματος να είναι 1,48 και 1,10 ευρώ αντίστοιχα </w:t>
      </w:r>
      <w:r w:rsidR="003B0A98" w:rsidRPr="001F285C">
        <w:rPr>
          <w:rFonts w:ascii="Tahoma" w:hAnsi="Tahoma" w:cs="Tahoma"/>
          <w:sz w:val="24"/>
          <w:szCs w:val="24"/>
        </w:rPr>
        <w:t>με μία διαφορά</w:t>
      </w:r>
      <w:r w:rsidR="00127D3A">
        <w:rPr>
          <w:rFonts w:ascii="Tahoma" w:hAnsi="Tahoma" w:cs="Tahoma"/>
          <w:sz w:val="24"/>
          <w:szCs w:val="24"/>
        </w:rPr>
        <w:t xml:space="preserve"> της τάξης του 150% από την τιμή αποζημί</w:t>
      </w:r>
      <w:r>
        <w:rPr>
          <w:rFonts w:ascii="Tahoma" w:hAnsi="Tahoma" w:cs="Tahoma"/>
          <w:sz w:val="24"/>
          <w:szCs w:val="24"/>
        </w:rPr>
        <w:t xml:space="preserve">ωσης που έχει καθορίσει ο ΕΟΠΥΥ. Βεβαίως </w:t>
      </w:r>
      <w:r w:rsidR="001F285C" w:rsidRPr="001F285C">
        <w:rPr>
          <w:rFonts w:ascii="Tahoma" w:hAnsi="Tahoma" w:cs="Tahoma"/>
          <w:sz w:val="24"/>
          <w:szCs w:val="24"/>
        </w:rPr>
        <w:t xml:space="preserve">αυτές οι </w:t>
      </w:r>
      <w:proofErr w:type="spellStart"/>
      <w:r w:rsidR="001F285C" w:rsidRPr="001F285C">
        <w:rPr>
          <w:rFonts w:ascii="Tahoma" w:hAnsi="Tahoma" w:cs="Tahoma"/>
          <w:sz w:val="24"/>
          <w:szCs w:val="24"/>
        </w:rPr>
        <w:t>χώρες</w:t>
      </w:r>
      <w:r w:rsidR="001F285C">
        <w:rPr>
          <w:rFonts w:ascii="Tahoma" w:hAnsi="Tahoma" w:cs="Tahoma"/>
          <w:sz w:val="24"/>
          <w:szCs w:val="24"/>
        </w:rPr>
        <w:t>πραγματοποιούν</w:t>
      </w:r>
      <w:proofErr w:type="spellEnd"/>
      <w:r w:rsidR="003B0A98" w:rsidRPr="001F285C">
        <w:rPr>
          <w:rFonts w:ascii="Tahoma" w:hAnsi="Tahoma" w:cs="Tahoma"/>
          <w:sz w:val="24"/>
          <w:szCs w:val="24"/>
        </w:rPr>
        <w:t xml:space="preserve"> μεγαλύτερο αριθμό </w:t>
      </w:r>
      <w:proofErr w:type="spellStart"/>
      <w:r w:rsidR="003B0A98" w:rsidRPr="001F285C">
        <w:rPr>
          <w:rFonts w:ascii="Tahoma" w:hAnsi="Tahoma" w:cs="Tahoma"/>
          <w:sz w:val="24"/>
          <w:szCs w:val="24"/>
        </w:rPr>
        <w:t>αποζημιούμενων</w:t>
      </w:r>
      <w:proofErr w:type="spellEnd"/>
      <w:r w:rsidR="003B0A98" w:rsidRPr="001F285C">
        <w:rPr>
          <w:rFonts w:ascii="Tahoma" w:hAnsi="Tahoma" w:cs="Tahoma"/>
          <w:sz w:val="24"/>
          <w:szCs w:val="24"/>
        </w:rPr>
        <w:t xml:space="preserve"> εξετάσεων σε </w:t>
      </w:r>
      <w:r w:rsidR="001F285C">
        <w:rPr>
          <w:rFonts w:ascii="Tahoma" w:hAnsi="Tahoma" w:cs="Tahoma"/>
          <w:sz w:val="24"/>
          <w:szCs w:val="24"/>
        </w:rPr>
        <w:t xml:space="preserve">σχέση με την Ελλάδα και αυτό επισημαίνεται στην </w:t>
      </w:r>
      <w:r w:rsidR="00230B85">
        <w:rPr>
          <w:rFonts w:ascii="Tahoma" w:hAnsi="Tahoma" w:cs="Tahoma"/>
          <w:sz w:val="24"/>
          <w:szCs w:val="24"/>
        </w:rPr>
        <w:t>πρότασή</w:t>
      </w:r>
      <w:r w:rsidR="001F285C">
        <w:rPr>
          <w:rFonts w:ascii="Tahoma" w:hAnsi="Tahoma" w:cs="Tahoma"/>
          <w:sz w:val="24"/>
          <w:szCs w:val="24"/>
        </w:rPr>
        <w:t xml:space="preserve"> μας </w:t>
      </w:r>
      <w:r w:rsidR="001F285C" w:rsidRPr="00127D3A">
        <w:rPr>
          <w:rFonts w:ascii="Tahoma" w:hAnsi="Tahoma" w:cs="Tahoma"/>
          <w:b/>
          <w:sz w:val="24"/>
          <w:szCs w:val="24"/>
        </w:rPr>
        <w:t xml:space="preserve">και έχει </w:t>
      </w:r>
      <w:r w:rsidR="00230B85" w:rsidRPr="00127D3A">
        <w:rPr>
          <w:rFonts w:ascii="Tahoma" w:hAnsi="Tahoma" w:cs="Tahoma"/>
          <w:b/>
          <w:sz w:val="24"/>
          <w:szCs w:val="24"/>
        </w:rPr>
        <w:t>ληφθεί</w:t>
      </w:r>
      <w:r w:rsidR="001F285C" w:rsidRPr="00127D3A">
        <w:rPr>
          <w:rFonts w:ascii="Tahoma" w:hAnsi="Tahoma" w:cs="Tahoma"/>
          <w:b/>
          <w:sz w:val="24"/>
          <w:szCs w:val="24"/>
        </w:rPr>
        <w:t xml:space="preserve"> υπόψη</w:t>
      </w:r>
      <w:r w:rsidR="001F285C">
        <w:rPr>
          <w:rFonts w:ascii="Tahoma" w:hAnsi="Tahoma" w:cs="Tahoma"/>
          <w:sz w:val="24"/>
          <w:szCs w:val="24"/>
        </w:rPr>
        <w:t xml:space="preserve">. Επίσης </w:t>
      </w:r>
      <w:r w:rsidR="001F285C" w:rsidRPr="00127D3A">
        <w:rPr>
          <w:rFonts w:ascii="Tahoma" w:hAnsi="Tahoma" w:cs="Tahoma"/>
          <w:b/>
          <w:sz w:val="24"/>
          <w:szCs w:val="24"/>
        </w:rPr>
        <w:t xml:space="preserve">λαμβάνουμε υπόψη μας </w:t>
      </w:r>
      <w:r w:rsidR="003B0A98" w:rsidRPr="00127D3A">
        <w:rPr>
          <w:rFonts w:ascii="Tahoma" w:hAnsi="Tahoma" w:cs="Tahoma"/>
          <w:b/>
          <w:sz w:val="24"/>
          <w:szCs w:val="24"/>
        </w:rPr>
        <w:t xml:space="preserve">τη γεωγραφική </w:t>
      </w:r>
      <w:r w:rsidR="003B0A98" w:rsidRPr="00127D3A">
        <w:rPr>
          <w:rFonts w:ascii="Tahoma" w:hAnsi="Tahoma" w:cs="Tahoma"/>
          <w:b/>
          <w:sz w:val="24"/>
          <w:szCs w:val="24"/>
        </w:rPr>
        <w:lastRenderedPageBreak/>
        <w:t>ιδιαιτερότητα</w:t>
      </w:r>
      <w:r w:rsidR="003B0A98" w:rsidRPr="001F285C">
        <w:rPr>
          <w:rFonts w:ascii="Tahoma" w:hAnsi="Tahoma" w:cs="Tahoma"/>
          <w:sz w:val="24"/>
          <w:szCs w:val="24"/>
        </w:rPr>
        <w:t xml:space="preserve"> της χώρας μας</w:t>
      </w:r>
      <w:r w:rsidR="001F285C">
        <w:rPr>
          <w:rFonts w:ascii="Tahoma" w:hAnsi="Tahoma" w:cs="Tahoma"/>
          <w:sz w:val="24"/>
          <w:szCs w:val="24"/>
        </w:rPr>
        <w:t>. Για αυτούς του</w:t>
      </w:r>
      <w:r w:rsidR="00230B85">
        <w:rPr>
          <w:rFonts w:ascii="Tahoma" w:hAnsi="Tahoma" w:cs="Tahoma"/>
          <w:sz w:val="24"/>
          <w:szCs w:val="24"/>
        </w:rPr>
        <w:t>ς</w:t>
      </w:r>
      <w:r w:rsidR="001F285C">
        <w:rPr>
          <w:rFonts w:ascii="Tahoma" w:hAnsi="Tahoma" w:cs="Tahoma"/>
          <w:sz w:val="24"/>
          <w:szCs w:val="24"/>
        </w:rPr>
        <w:t xml:space="preserve"> λόγους η πρόταση μας δεν είναι για εξίσωση των τιμών με αυτές τις χώρες</w:t>
      </w:r>
      <w:r w:rsidR="00127D3A">
        <w:rPr>
          <w:rFonts w:ascii="Tahoma" w:hAnsi="Tahoma" w:cs="Tahoma"/>
          <w:sz w:val="24"/>
          <w:szCs w:val="24"/>
        </w:rPr>
        <w:t>,</w:t>
      </w:r>
      <w:r w:rsidR="00230B85">
        <w:rPr>
          <w:rFonts w:ascii="Tahoma" w:hAnsi="Tahoma" w:cs="Tahoma"/>
          <w:sz w:val="24"/>
          <w:szCs w:val="24"/>
        </w:rPr>
        <w:t>αντιθέτως</w:t>
      </w:r>
      <w:r w:rsidR="001F285C">
        <w:rPr>
          <w:rFonts w:ascii="Tahoma" w:hAnsi="Tahoma" w:cs="Tahoma"/>
          <w:sz w:val="24"/>
          <w:szCs w:val="24"/>
        </w:rPr>
        <w:t xml:space="preserve"> προτείνουμε σημαντικά υψηλότερες τιμές αποζημίωσης.</w:t>
      </w:r>
    </w:p>
    <w:p w:rsidR="00230B85" w:rsidRPr="00230B85" w:rsidRDefault="00CB2919" w:rsidP="001F285C">
      <w:pPr>
        <w:pStyle w:val="a3"/>
        <w:numPr>
          <w:ilvl w:val="0"/>
          <w:numId w:val="1"/>
        </w:numPr>
        <w:jc w:val="both"/>
        <w:rPr>
          <w:rFonts w:ascii="Tahoma" w:hAnsi="Tahoma" w:cs="Tahoma"/>
          <w:sz w:val="24"/>
          <w:szCs w:val="24"/>
        </w:rPr>
      </w:pPr>
      <w:r>
        <w:rPr>
          <w:rFonts w:ascii="Tahoma" w:hAnsi="Tahoma" w:cs="Tahoma"/>
          <w:sz w:val="24"/>
          <w:szCs w:val="24"/>
        </w:rPr>
        <w:t>Ε</w:t>
      </w:r>
      <w:r w:rsidR="00230B85">
        <w:rPr>
          <w:rFonts w:ascii="Tahoma" w:hAnsi="Tahoma" w:cs="Tahoma"/>
          <w:sz w:val="24"/>
          <w:szCs w:val="24"/>
        </w:rPr>
        <w:t xml:space="preserve">ίναι προτιμότερο </w:t>
      </w:r>
      <w:r w:rsidR="000A5DA0">
        <w:rPr>
          <w:rFonts w:ascii="Tahoma" w:hAnsi="Tahoma" w:cs="Tahoma"/>
          <w:sz w:val="24"/>
          <w:szCs w:val="24"/>
        </w:rPr>
        <w:t xml:space="preserve">κατά την άποψη μας </w:t>
      </w:r>
      <w:r w:rsidR="00230B85">
        <w:rPr>
          <w:rFonts w:ascii="Tahoma" w:hAnsi="Tahoma" w:cs="Tahoma"/>
          <w:sz w:val="24"/>
          <w:szCs w:val="24"/>
        </w:rPr>
        <w:t>για του</w:t>
      </w:r>
      <w:r w:rsidR="00BA7E74">
        <w:rPr>
          <w:rFonts w:ascii="Tahoma" w:hAnsi="Tahoma" w:cs="Tahoma"/>
          <w:sz w:val="24"/>
          <w:szCs w:val="24"/>
        </w:rPr>
        <w:t>ς</w:t>
      </w:r>
      <w:r w:rsidR="00230B85">
        <w:rPr>
          <w:rFonts w:ascii="Tahoma" w:hAnsi="Tahoma" w:cs="Tahoma"/>
          <w:sz w:val="24"/>
          <w:szCs w:val="24"/>
        </w:rPr>
        <w:t xml:space="preserve"> συμβεβλημένους παρόχους </w:t>
      </w:r>
      <w:r w:rsidR="00BA7E74">
        <w:rPr>
          <w:rFonts w:ascii="Tahoma" w:hAnsi="Tahoma" w:cs="Tahoma"/>
          <w:sz w:val="24"/>
          <w:szCs w:val="24"/>
        </w:rPr>
        <w:t>διαγνωστικών εξετάσεων</w:t>
      </w:r>
      <w:r w:rsidR="00230B85">
        <w:rPr>
          <w:rFonts w:ascii="Tahoma" w:hAnsi="Tahoma" w:cs="Tahoma"/>
          <w:sz w:val="24"/>
          <w:szCs w:val="24"/>
        </w:rPr>
        <w:t xml:space="preserve"> να αποζημιώνονται στο 100% των εκτελεσμένων </w:t>
      </w:r>
      <w:r w:rsidR="00BA7E74">
        <w:rPr>
          <w:rFonts w:ascii="Tahoma" w:hAnsi="Tahoma" w:cs="Tahoma"/>
          <w:sz w:val="24"/>
          <w:szCs w:val="24"/>
        </w:rPr>
        <w:t>παραπεμπτικών</w:t>
      </w:r>
      <w:r w:rsidR="00230B85">
        <w:rPr>
          <w:rFonts w:ascii="Tahoma" w:hAnsi="Tahoma" w:cs="Tahoma"/>
          <w:sz w:val="24"/>
          <w:szCs w:val="24"/>
        </w:rPr>
        <w:t xml:space="preserve"> με </w:t>
      </w:r>
      <w:r w:rsidR="00BA7E74">
        <w:rPr>
          <w:rFonts w:ascii="Tahoma" w:hAnsi="Tahoma" w:cs="Tahoma"/>
          <w:sz w:val="24"/>
          <w:szCs w:val="24"/>
        </w:rPr>
        <w:t xml:space="preserve">έστω </w:t>
      </w:r>
      <w:r w:rsidR="00230B85">
        <w:rPr>
          <w:rFonts w:ascii="Tahoma" w:hAnsi="Tahoma" w:cs="Tahoma"/>
          <w:sz w:val="24"/>
          <w:szCs w:val="24"/>
        </w:rPr>
        <w:t xml:space="preserve">μειωμένες τιμές κατά 5% </w:t>
      </w:r>
      <w:r w:rsidR="00212BCE">
        <w:rPr>
          <w:rFonts w:ascii="Tahoma" w:hAnsi="Tahoma" w:cs="Tahoma"/>
          <w:sz w:val="24"/>
          <w:szCs w:val="24"/>
        </w:rPr>
        <w:t xml:space="preserve">για τη μεγάλη πλειοψηφία των εξετάσεων </w:t>
      </w:r>
      <w:r w:rsidR="00230B85">
        <w:rPr>
          <w:rFonts w:ascii="Tahoma" w:hAnsi="Tahoma" w:cs="Tahoma"/>
          <w:sz w:val="24"/>
          <w:szCs w:val="24"/>
        </w:rPr>
        <w:t xml:space="preserve">και </w:t>
      </w:r>
      <w:proofErr w:type="spellStart"/>
      <w:r w:rsidR="00230B85">
        <w:rPr>
          <w:rFonts w:ascii="Tahoma" w:hAnsi="Tahoma" w:cs="Tahoma"/>
          <w:sz w:val="24"/>
          <w:szCs w:val="24"/>
        </w:rPr>
        <w:t>μεσοσταθμικά</w:t>
      </w:r>
      <w:proofErr w:type="spellEnd"/>
      <w:r w:rsidR="00230B85">
        <w:rPr>
          <w:rFonts w:ascii="Tahoma" w:hAnsi="Tahoma" w:cs="Tahoma"/>
          <w:sz w:val="24"/>
          <w:szCs w:val="24"/>
        </w:rPr>
        <w:t xml:space="preserve"> κατά 20% για τις 54 πιο </w:t>
      </w:r>
      <w:r w:rsidR="00127D3A">
        <w:rPr>
          <w:rFonts w:ascii="Tahoma" w:hAnsi="Tahoma" w:cs="Tahoma"/>
          <w:sz w:val="24"/>
          <w:szCs w:val="24"/>
        </w:rPr>
        <w:t>δαπανηρές</w:t>
      </w:r>
      <w:r w:rsidR="000A5DA0">
        <w:rPr>
          <w:rFonts w:ascii="Tahoma" w:hAnsi="Tahoma" w:cs="Tahoma"/>
          <w:sz w:val="24"/>
          <w:szCs w:val="24"/>
        </w:rPr>
        <w:t xml:space="preserve"> εξετάσεις βιολογικών υγρών παρά </w:t>
      </w:r>
      <w:r w:rsidR="00230B85">
        <w:rPr>
          <w:rFonts w:ascii="Tahoma" w:hAnsi="Tahoma" w:cs="Tahoma"/>
          <w:sz w:val="24"/>
          <w:szCs w:val="24"/>
        </w:rPr>
        <w:t xml:space="preserve">να αποζημιώνονται στο 50% όπως συμβαίνει σήμερα με την εφαρμογή </w:t>
      </w:r>
      <w:r w:rsidR="00212BCE">
        <w:rPr>
          <w:rFonts w:ascii="Tahoma" w:hAnsi="Tahoma" w:cs="Tahoma"/>
          <w:sz w:val="24"/>
          <w:szCs w:val="24"/>
        </w:rPr>
        <w:t>του</w:t>
      </w:r>
      <w:proofErr w:type="spellStart"/>
      <w:r w:rsidR="00230B85">
        <w:rPr>
          <w:rFonts w:ascii="Tahoma" w:hAnsi="Tahoma" w:cs="Tahoma"/>
          <w:sz w:val="24"/>
          <w:szCs w:val="24"/>
          <w:lang w:val="en-US"/>
        </w:rPr>
        <w:t>clawback</w:t>
      </w:r>
      <w:proofErr w:type="spellEnd"/>
      <w:r>
        <w:rPr>
          <w:rFonts w:ascii="Tahoma" w:hAnsi="Tahoma" w:cs="Tahoma"/>
          <w:sz w:val="24"/>
          <w:szCs w:val="24"/>
        </w:rPr>
        <w:t xml:space="preserve">. </w:t>
      </w:r>
    </w:p>
    <w:p w:rsidR="00212BCE" w:rsidRPr="00C748A5" w:rsidRDefault="001F0660" w:rsidP="001F0660">
      <w:pPr>
        <w:pStyle w:val="a3"/>
        <w:ind w:firstLine="720"/>
        <w:jc w:val="both"/>
        <w:rPr>
          <w:rFonts w:ascii="Tahoma" w:hAnsi="Tahoma" w:cs="Tahoma"/>
          <w:sz w:val="24"/>
          <w:szCs w:val="24"/>
        </w:rPr>
      </w:pPr>
      <w:r>
        <w:rPr>
          <w:rFonts w:ascii="Tahoma" w:hAnsi="Tahoma" w:cs="Tahoma"/>
          <w:sz w:val="24"/>
          <w:szCs w:val="24"/>
        </w:rPr>
        <w:t xml:space="preserve">Από την πλευρά μας επισημαίνουμε πως στρατηγικός στόχος </w:t>
      </w:r>
      <w:r w:rsidR="00230B85">
        <w:rPr>
          <w:rFonts w:ascii="Tahoma" w:hAnsi="Tahoma" w:cs="Tahoma"/>
          <w:sz w:val="24"/>
          <w:szCs w:val="24"/>
        </w:rPr>
        <w:t>του ΕΟΠΥΥ</w:t>
      </w:r>
      <w:r w:rsidR="000A5DA0">
        <w:rPr>
          <w:rFonts w:ascii="Tahoma" w:hAnsi="Tahoma" w:cs="Tahoma"/>
          <w:sz w:val="24"/>
          <w:szCs w:val="24"/>
        </w:rPr>
        <w:t xml:space="preserve"> και του Υπουργείου Υγείας </w:t>
      </w:r>
      <w:r w:rsidR="00230B85">
        <w:rPr>
          <w:rFonts w:ascii="Tahoma" w:hAnsi="Tahoma" w:cs="Tahoma"/>
          <w:sz w:val="24"/>
          <w:szCs w:val="24"/>
        </w:rPr>
        <w:t xml:space="preserve">είναι με την εφαρμογή της προτεινόμενης μείωσης </w:t>
      </w:r>
      <w:r>
        <w:rPr>
          <w:rFonts w:ascii="Tahoma" w:hAnsi="Tahoma" w:cs="Tahoma"/>
          <w:sz w:val="24"/>
          <w:szCs w:val="24"/>
        </w:rPr>
        <w:t xml:space="preserve">σε συνδυασμό με </w:t>
      </w:r>
      <w:r w:rsidR="00212BCE">
        <w:rPr>
          <w:rFonts w:ascii="Tahoma" w:hAnsi="Tahoma" w:cs="Tahoma"/>
          <w:sz w:val="24"/>
          <w:szCs w:val="24"/>
        </w:rPr>
        <w:t xml:space="preserve">τα υπόλοιπα </w:t>
      </w:r>
      <w:r w:rsidR="00230B85">
        <w:rPr>
          <w:rFonts w:ascii="Tahoma" w:hAnsi="Tahoma" w:cs="Tahoma"/>
          <w:sz w:val="24"/>
          <w:szCs w:val="24"/>
        </w:rPr>
        <w:t>μέτρ</w:t>
      </w:r>
      <w:r>
        <w:rPr>
          <w:rFonts w:ascii="Tahoma" w:hAnsi="Tahoma" w:cs="Tahoma"/>
          <w:sz w:val="24"/>
          <w:szCs w:val="24"/>
        </w:rPr>
        <w:t xml:space="preserve">α </w:t>
      </w:r>
      <w:r w:rsidR="00212BCE">
        <w:rPr>
          <w:rFonts w:ascii="Tahoma" w:hAnsi="Tahoma" w:cs="Tahoma"/>
          <w:sz w:val="24"/>
          <w:szCs w:val="24"/>
        </w:rPr>
        <w:t xml:space="preserve">που αναφέραμε παραπάνω να πετύχουμε την τήρηση του κλειστού </w:t>
      </w:r>
      <w:r w:rsidR="00D13C19">
        <w:rPr>
          <w:rFonts w:ascii="Tahoma" w:hAnsi="Tahoma" w:cs="Tahoma"/>
          <w:sz w:val="24"/>
          <w:szCs w:val="24"/>
        </w:rPr>
        <w:t>προϋπολογισμού</w:t>
      </w:r>
      <w:r w:rsidR="00C748A5">
        <w:rPr>
          <w:rFonts w:ascii="Tahoma" w:hAnsi="Tahoma" w:cs="Tahoma"/>
          <w:sz w:val="24"/>
          <w:szCs w:val="24"/>
        </w:rPr>
        <w:t xml:space="preserve">, τη μείωση των βαρών των ασφαλισμένων ως προς το ποσοστό συμμετοχής τους και κυρίως την κατάργηση του επαχθούς μέτρου του </w:t>
      </w:r>
      <w:proofErr w:type="spellStart"/>
      <w:r w:rsidR="00C748A5">
        <w:rPr>
          <w:rFonts w:ascii="Tahoma" w:hAnsi="Tahoma" w:cs="Tahoma"/>
          <w:sz w:val="24"/>
          <w:szCs w:val="24"/>
          <w:lang w:val="en-US"/>
        </w:rPr>
        <w:t>clawback</w:t>
      </w:r>
      <w:proofErr w:type="spellEnd"/>
      <w:r w:rsidR="00C748A5" w:rsidRPr="00C748A5">
        <w:rPr>
          <w:rFonts w:ascii="Tahoma" w:hAnsi="Tahoma" w:cs="Tahoma"/>
          <w:sz w:val="24"/>
          <w:szCs w:val="24"/>
        </w:rPr>
        <w:t>.</w:t>
      </w:r>
    </w:p>
    <w:p w:rsidR="001F0660" w:rsidRPr="00230B85" w:rsidRDefault="00C748A5" w:rsidP="001F0660">
      <w:pPr>
        <w:pStyle w:val="a3"/>
        <w:ind w:firstLine="720"/>
        <w:jc w:val="both"/>
        <w:rPr>
          <w:rFonts w:ascii="Tahoma" w:hAnsi="Tahoma" w:cs="Tahoma"/>
          <w:sz w:val="24"/>
          <w:szCs w:val="24"/>
        </w:rPr>
      </w:pPr>
      <w:r>
        <w:rPr>
          <w:rFonts w:ascii="Tahoma" w:hAnsi="Tahoma" w:cs="Tahoma"/>
          <w:sz w:val="24"/>
          <w:szCs w:val="24"/>
        </w:rPr>
        <w:t>Σε κάθε περίπτωση</w:t>
      </w:r>
      <w:r w:rsidR="001F0660">
        <w:rPr>
          <w:rFonts w:ascii="Tahoma" w:hAnsi="Tahoma" w:cs="Tahoma"/>
          <w:sz w:val="24"/>
          <w:szCs w:val="24"/>
        </w:rPr>
        <w:t xml:space="preserve"> καλούμε όλους να </w:t>
      </w:r>
      <w:r>
        <w:rPr>
          <w:rFonts w:ascii="Tahoma" w:hAnsi="Tahoma" w:cs="Tahoma"/>
          <w:sz w:val="24"/>
          <w:szCs w:val="24"/>
        </w:rPr>
        <w:t xml:space="preserve">συμβάλλουν με εποικοδομητικές προτάσεις στην προσπάθεια του </w:t>
      </w:r>
      <w:r w:rsidR="006A0C39">
        <w:rPr>
          <w:rFonts w:ascii="Tahoma" w:hAnsi="Tahoma" w:cs="Tahoma"/>
          <w:sz w:val="24"/>
          <w:szCs w:val="24"/>
        </w:rPr>
        <w:t xml:space="preserve">Υπουργείου Υγείας και του ΕΟΠΥΥ για τον εξορθολογισμό της υπέρογκης δαπάνης για διαγνωστικές εξετάσεις. </w:t>
      </w:r>
    </w:p>
    <w:p w:rsidR="00230B85" w:rsidRDefault="00230B85" w:rsidP="00230B85">
      <w:pPr>
        <w:pStyle w:val="a3"/>
        <w:jc w:val="both"/>
        <w:rPr>
          <w:rFonts w:ascii="Tahoma" w:hAnsi="Tahoma" w:cs="Tahoma"/>
          <w:sz w:val="24"/>
          <w:szCs w:val="24"/>
        </w:rPr>
      </w:pPr>
    </w:p>
    <w:p w:rsidR="00B216E5" w:rsidRDefault="00B216E5" w:rsidP="00230B85">
      <w:pPr>
        <w:pStyle w:val="a3"/>
        <w:jc w:val="both"/>
        <w:rPr>
          <w:rFonts w:ascii="Tahoma" w:hAnsi="Tahoma" w:cs="Tahoma"/>
          <w:sz w:val="24"/>
          <w:szCs w:val="24"/>
        </w:rPr>
      </w:pPr>
    </w:p>
    <w:p w:rsidR="00B216E5" w:rsidRDefault="00B216E5" w:rsidP="00230B85">
      <w:pPr>
        <w:pStyle w:val="a3"/>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322DAC">
        <w:rPr>
          <w:rFonts w:ascii="Tahoma" w:hAnsi="Tahoma" w:cs="Tahoma"/>
          <w:sz w:val="24"/>
          <w:szCs w:val="24"/>
        </w:rPr>
        <w:t xml:space="preserve">Ο </w:t>
      </w:r>
      <w:r>
        <w:rPr>
          <w:rFonts w:ascii="Tahoma" w:hAnsi="Tahoma" w:cs="Tahoma"/>
          <w:sz w:val="24"/>
          <w:szCs w:val="24"/>
        </w:rPr>
        <w:t xml:space="preserve">ΠΡΟΕΔΡΟΣ ΕΟΠΥΥ </w:t>
      </w:r>
    </w:p>
    <w:p w:rsidR="00B216E5" w:rsidRDefault="00B216E5" w:rsidP="00230B85">
      <w:pPr>
        <w:pStyle w:val="a3"/>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ΔΗΜΗΤΡΗΣ ΚΟΝΤΟΣ </w:t>
      </w:r>
    </w:p>
    <w:p w:rsidR="00322DAC" w:rsidRDefault="00B216E5" w:rsidP="00230B85">
      <w:pPr>
        <w:pStyle w:val="a3"/>
        <w:jc w:val="both"/>
        <w:rPr>
          <w:rFonts w:ascii="Tahoma" w:hAnsi="Tahoma" w:cs="Tahoma"/>
          <w:sz w:val="24"/>
          <w:szCs w:val="24"/>
        </w:rPr>
      </w:pPr>
      <w:r>
        <w:rPr>
          <w:rFonts w:ascii="Tahoma" w:hAnsi="Tahoma" w:cs="Tahoma"/>
          <w:sz w:val="24"/>
          <w:szCs w:val="24"/>
        </w:rPr>
        <w:tab/>
      </w:r>
    </w:p>
    <w:p w:rsidR="00322DAC" w:rsidRDefault="00322DAC" w:rsidP="00230B85">
      <w:pPr>
        <w:pStyle w:val="a3"/>
        <w:jc w:val="both"/>
        <w:rPr>
          <w:rFonts w:ascii="Tahoma" w:hAnsi="Tahoma" w:cs="Tahoma"/>
          <w:sz w:val="24"/>
          <w:szCs w:val="24"/>
        </w:rPr>
      </w:pPr>
    </w:p>
    <w:p w:rsidR="00322DAC" w:rsidRDefault="00322DAC" w:rsidP="00230B85">
      <w:pPr>
        <w:pStyle w:val="a3"/>
        <w:jc w:val="both"/>
        <w:rPr>
          <w:rFonts w:ascii="Tahoma" w:hAnsi="Tahoma" w:cs="Tahoma"/>
          <w:sz w:val="24"/>
          <w:szCs w:val="24"/>
        </w:rPr>
      </w:pPr>
    </w:p>
    <w:p w:rsidR="00322DAC" w:rsidRDefault="00322DAC" w:rsidP="00230B85">
      <w:pPr>
        <w:pStyle w:val="a3"/>
        <w:jc w:val="both"/>
        <w:rPr>
          <w:rFonts w:ascii="Tahoma" w:hAnsi="Tahoma" w:cs="Tahoma"/>
          <w:sz w:val="24"/>
          <w:szCs w:val="24"/>
        </w:rPr>
      </w:pPr>
    </w:p>
    <w:p w:rsidR="00322DAC" w:rsidRDefault="00322DAC" w:rsidP="00230B85">
      <w:pPr>
        <w:pStyle w:val="a3"/>
        <w:jc w:val="both"/>
        <w:rPr>
          <w:rFonts w:ascii="Tahoma" w:hAnsi="Tahoma" w:cs="Tahoma"/>
          <w:sz w:val="24"/>
          <w:szCs w:val="24"/>
        </w:rPr>
      </w:pPr>
    </w:p>
    <w:p w:rsidR="00B216E5" w:rsidRPr="00230B85" w:rsidRDefault="00322DAC" w:rsidP="00230B85">
      <w:pPr>
        <w:pStyle w:val="a3"/>
        <w:jc w:val="both"/>
        <w:rPr>
          <w:rFonts w:ascii="Tahoma" w:hAnsi="Tahoma" w:cs="Tahoma"/>
          <w:sz w:val="24"/>
          <w:szCs w:val="24"/>
        </w:rPr>
      </w:pPr>
      <w:r>
        <w:rPr>
          <w:rFonts w:ascii="Tahoma" w:hAnsi="Tahoma" w:cs="Tahoma"/>
          <w:sz w:val="24"/>
          <w:szCs w:val="24"/>
        </w:rPr>
        <w:t xml:space="preserve">ΑΚΡΙΒΕΣ ΑΝΤΙΓΡΑΦΟ </w:t>
      </w:r>
      <w:r w:rsidR="00B216E5">
        <w:rPr>
          <w:rFonts w:ascii="Tahoma" w:hAnsi="Tahoma" w:cs="Tahoma"/>
          <w:sz w:val="24"/>
          <w:szCs w:val="24"/>
        </w:rPr>
        <w:tab/>
      </w:r>
      <w:r w:rsidR="00B216E5">
        <w:rPr>
          <w:rFonts w:ascii="Tahoma" w:hAnsi="Tahoma" w:cs="Tahoma"/>
          <w:sz w:val="24"/>
          <w:szCs w:val="24"/>
        </w:rPr>
        <w:tab/>
      </w:r>
      <w:r w:rsidR="00B216E5">
        <w:rPr>
          <w:rFonts w:ascii="Tahoma" w:hAnsi="Tahoma" w:cs="Tahoma"/>
          <w:sz w:val="24"/>
          <w:szCs w:val="24"/>
        </w:rPr>
        <w:tab/>
      </w:r>
    </w:p>
    <w:sectPr w:rsidR="00B216E5" w:rsidRPr="00230B85" w:rsidSect="00B25F6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Tahoma">
    <w:panose1 w:val="020B0604030504040204"/>
    <w:charset w:val="A1"/>
    <w:family w:val="swiss"/>
    <w:pitch w:val="variable"/>
    <w:sig w:usb0="61002A87" w:usb1="80000000" w:usb2="00000008"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Light">
    <w:altName w:val="Segoe UI"/>
    <w:charset w:val="A1"/>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73FC9"/>
    <w:multiLevelType w:val="hybridMultilevel"/>
    <w:tmpl w:val="3690960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24F4"/>
    <w:rsid w:val="000272A5"/>
    <w:rsid w:val="000652DF"/>
    <w:rsid w:val="000A1714"/>
    <w:rsid w:val="000A5DA0"/>
    <w:rsid w:val="000B2747"/>
    <w:rsid w:val="00127D3A"/>
    <w:rsid w:val="00146BD7"/>
    <w:rsid w:val="001837E6"/>
    <w:rsid w:val="001D750A"/>
    <w:rsid w:val="001F0660"/>
    <w:rsid w:val="001F285C"/>
    <w:rsid w:val="00212BCE"/>
    <w:rsid w:val="00230B85"/>
    <w:rsid w:val="002858E3"/>
    <w:rsid w:val="002B1A68"/>
    <w:rsid w:val="00316EDB"/>
    <w:rsid w:val="00322DAC"/>
    <w:rsid w:val="00356543"/>
    <w:rsid w:val="003B0A98"/>
    <w:rsid w:val="003D2587"/>
    <w:rsid w:val="004438B1"/>
    <w:rsid w:val="0045511B"/>
    <w:rsid w:val="004A08E1"/>
    <w:rsid w:val="004F4BE0"/>
    <w:rsid w:val="005524F4"/>
    <w:rsid w:val="00684618"/>
    <w:rsid w:val="006A0C39"/>
    <w:rsid w:val="006E1A8F"/>
    <w:rsid w:val="00714D74"/>
    <w:rsid w:val="007672D3"/>
    <w:rsid w:val="008331D0"/>
    <w:rsid w:val="0088145D"/>
    <w:rsid w:val="008A2E85"/>
    <w:rsid w:val="008A5A4E"/>
    <w:rsid w:val="008D7B90"/>
    <w:rsid w:val="00907D2B"/>
    <w:rsid w:val="00924E07"/>
    <w:rsid w:val="0098111C"/>
    <w:rsid w:val="009A3435"/>
    <w:rsid w:val="00A26522"/>
    <w:rsid w:val="00B216E5"/>
    <w:rsid w:val="00B25F6C"/>
    <w:rsid w:val="00B56EBD"/>
    <w:rsid w:val="00BA7E74"/>
    <w:rsid w:val="00BC2B55"/>
    <w:rsid w:val="00BC308C"/>
    <w:rsid w:val="00C103CC"/>
    <w:rsid w:val="00C307BF"/>
    <w:rsid w:val="00C50249"/>
    <w:rsid w:val="00C55517"/>
    <w:rsid w:val="00C57526"/>
    <w:rsid w:val="00C748A5"/>
    <w:rsid w:val="00CB2919"/>
    <w:rsid w:val="00D13C19"/>
    <w:rsid w:val="00D6396F"/>
    <w:rsid w:val="00E11720"/>
    <w:rsid w:val="00E12643"/>
    <w:rsid w:val="00F02BB8"/>
    <w:rsid w:val="00F2112C"/>
    <w:rsid w:val="00F50C7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F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435"/>
    <w:pPr>
      <w:ind w:left="720"/>
      <w:contextualSpacing/>
    </w:pPr>
  </w:style>
  <w:style w:type="paragraph" w:styleId="a4">
    <w:name w:val="Balloon Text"/>
    <w:basedOn w:val="a"/>
    <w:link w:val="Char"/>
    <w:uiPriority w:val="99"/>
    <w:semiHidden/>
    <w:unhideWhenUsed/>
    <w:rsid w:val="00C103CC"/>
    <w:rPr>
      <w:rFonts w:ascii="Segoe UI" w:hAnsi="Segoe UI" w:cs="Segoe UI"/>
      <w:sz w:val="18"/>
      <w:szCs w:val="18"/>
    </w:rPr>
  </w:style>
  <w:style w:type="character" w:customStyle="1" w:styleId="Char">
    <w:name w:val="Κείμενο πλαισίου Char"/>
    <w:basedOn w:val="a0"/>
    <w:link w:val="a4"/>
    <w:uiPriority w:val="99"/>
    <w:semiHidden/>
    <w:rsid w:val="00C103CC"/>
    <w:rPr>
      <w:rFonts w:ascii="Segoe UI" w:hAnsi="Segoe UI" w:cs="Segoe UI"/>
      <w:sz w:val="18"/>
      <w:szCs w:val="18"/>
    </w:rPr>
  </w:style>
  <w:style w:type="character" w:styleId="-">
    <w:name w:val="Hyperlink"/>
    <w:basedOn w:val="a0"/>
    <w:uiPriority w:val="99"/>
    <w:semiHidden/>
    <w:unhideWhenUsed/>
    <w:rsid w:val="000B2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435"/>
    <w:pPr>
      <w:ind w:left="720"/>
      <w:contextualSpacing/>
    </w:pPr>
  </w:style>
  <w:style w:type="paragraph" w:styleId="a4">
    <w:name w:val="Balloon Text"/>
    <w:basedOn w:val="a"/>
    <w:link w:val="Char"/>
    <w:uiPriority w:val="99"/>
    <w:semiHidden/>
    <w:unhideWhenUsed/>
    <w:rsid w:val="00C103CC"/>
    <w:rPr>
      <w:rFonts w:ascii="Segoe UI" w:hAnsi="Segoe UI" w:cs="Segoe UI"/>
      <w:sz w:val="18"/>
      <w:szCs w:val="18"/>
    </w:rPr>
  </w:style>
  <w:style w:type="character" w:customStyle="1" w:styleId="Char">
    <w:name w:val="Κείμενο πλαισίου Char"/>
    <w:basedOn w:val="a0"/>
    <w:link w:val="a4"/>
    <w:uiPriority w:val="99"/>
    <w:semiHidden/>
    <w:rsid w:val="00C103CC"/>
    <w:rPr>
      <w:rFonts w:ascii="Segoe UI" w:hAnsi="Segoe UI" w:cs="Segoe UI"/>
      <w:sz w:val="18"/>
      <w:szCs w:val="18"/>
    </w:rPr>
  </w:style>
  <w:style w:type="character" w:styleId="-">
    <w:name w:val="Hyperlink"/>
    <w:basedOn w:val="a0"/>
    <w:uiPriority w:val="99"/>
    <w:semiHidden/>
    <w:unhideWhenUsed/>
    <w:rsid w:val="000B2747"/>
    <w:rPr>
      <w:color w:val="0000FF"/>
      <w:u w:val="single"/>
    </w:rPr>
  </w:style>
</w:styles>
</file>

<file path=word/webSettings.xml><?xml version="1.0" encoding="utf-8"?>
<w:webSettings xmlns:r="http://schemas.openxmlformats.org/officeDocument/2006/relationships" xmlns:w="http://schemas.openxmlformats.org/wordprocessingml/2006/main">
  <w:divs>
    <w:div w:id="130825153">
      <w:bodyDiv w:val="1"/>
      <w:marLeft w:val="0"/>
      <w:marRight w:val="0"/>
      <w:marTop w:val="0"/>
      <w:marBottom w:val="0"/>
      <w:divBdr>
        <w:top w:val="none" w:sz="0" w:space="0" w:color="auto"/>
        <w:left w:val="none" w:sz="0" w:space="0" w:color="auto"/>
        <w:bottom w:val="none" w:sz="0" w:space="0" w:color="auto"/>
        <w:right w:val="none" w:sz="0" w:space="0" w:color="auto"/>
      </w:divBdr>
    </w:div>
    <w:div w:id="6816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eopyy.gov.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4912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User9</dc:creator>
  <cp:lastModifiedBy>kasapidis</cp:lastModifiedBy>
  <cp:revision>2</cp:revision>
  <cp:lastPrinted>2015-05-14T06:00:00Z</cp:lastPrinted>
  <dcterms:created xsi:type="dcterms:W3CDTF">2015-05-14T16:58:00Z</dcterms:created>
  <dcterms:modified xsi:type="dcterms:W3CDTF">2015-05-14T16:58:00Z</dcterms:modified>
</cp:coreProperties>
</file>